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4" w:rsidRPr="00450557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557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893EB2">
        <w:rPr>
          <w:rFonts w:ascii="Times New Roman" w:hAnsi="Times New Roman" w:cs="Times New Roman"/>
          <w:sz w:val="24"/>
          <w:szCs w:val="24"/>
        </w:rPr>
        <w:t xml:space="preserve"> </w:t>
      </w:r>
      <w:r w:rsidR="00AB6147">
        <w:rPr>
          <w:rFonts w:ascii="Times New Roman" w:hAnsi="Times New Roman" w:cs="Times New Roman"/>
          <w:sz w:val="24"/>
          <w:szCs w:val="24"/>
        </w:rPr>
        <w:t>35</w:t>
      </w:r>
      <w:r w:rsidR="00893EB2">
        <w:rPr>
          <w:rFonts w:ascii="Times New Roman" w:hAnsi="Times New Roman" w:cs="Times New Roman"/>
          <w:sz w:val="24"/>
          <w:szCs w:val="24"/>
        </w:rPr>
        <w:t xml:space="preserve"> от</w:t>
      </w:r>
      <w:r w:rsidR="00AB6147">
        <w:rPr>
          <w:rFonts w:ascii="Times New Roman" w:hAnsi="Times New Roman" w:cs="Times New Roman"/>
          <w:sz w:val="24"/>
          <w:szCs w:val="24"/>
        </w:rPr>
        <w:t xml:space="preserve"> 02.10.</w:t>
      </w:r>
      <w:r w:rsidR="00893EB2">
        <w:rPr>
          <w:rFonts w:ascii="Times New Roman" w:hAnsi="Times New Roman" w:cs="Times New Roman"/>
          <w:sz w:val="24"/>
          <w:szCs w:val="24"/>
        </w:rPr>
        <w:t>2019</w:t>
      </w:r>
    </w:p>
    <w:p w:rsidR="003E2812" w:rsidRDefault="004541BA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4541BA">
        <w:rPr>
          <w:rFonts w:ascii="Times New Roman" w:hAnsi="Times New Roman" w:cs="Times New Roman"/>
          <w:sz w:val="24"/>
          <w:szCs w:val="24"/>
        </w:rPr>
        <w:t>казание</w:t>
      </w:r>
      <w:r w:rsidR="00180546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Pr="004541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80546">
        <w:rPr>
          <w:rFonts w:ascii="Times New Roman" w:hAnsi="Times New Roman" w:cs="Times New Roman"/>
          <w:sz w:val="24"/>
          <w:szCs w:val="24"/>
        </w:rPr>
        <w:t>и</w:t>
      </w:r>
      <w:r w:rsidRPr="004541BA">
        <w:rPr>
          <w:rFonts w:ascii="Times New Roman" w:hAnsi="Times New Roman" w:cs="Times New Roman"/>
          <w:sz w:val="24"/>
          <w:szCs w:val="24"/>
        </w:rPr>
        <w:t xml:space="preserve"> по продвижению информации о деятельности Центра поддержки экспорта </w:t>
      </w:r>
      <w:r w:rsidRPr="00893EB2">
        <w:rPr>
          <w:rFonts w:ascii="Times New Roman" w:hAnsi="Times New Roman" w:cs="Times New Roman"/>
          <w:sz w:val="24"/>
          <w:szCs w:val="24"/>
        </w:rPr>
        <w:t>Фонда развития Республики Хакасия</w:t>
      </w:r>
      <w:r w:rsidRPr="004541BA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информационно-телекоммуникационной сети "Интернет", в том числе продвижение аккаунтов Центра поддержки экспорта</w:t>
      </w:r>
      <w:r w:rsidRPr="00893EB2">
        <w:rPr>
          <w:rFonts w:ascii="Times New Roman" w:hAnsi="Times New Roman" w:cs="Times New Roman"/>
          <w:sz w:val="24"/>
          <w:szCs w:val="24"/>
        </w:rPr>
        <w:t>Фонда развития Республики Хакасия</w:t>
      </w:r>
      <w:r w:rsidRPr="004541BA">
        <w:rPr>
          <w:rFonts w:ascii="Times New Roman" w:hAnsi="Times New Roman" w:cs="Times New Roman"/>
          <w:sz w:val="24"/>
          <w:szCs w:val="24"/>
        </w:rPr>
        <w:t xml:space="preserve"> в социальных сетях в информационно-телекоммуникационной сети "Интернет"</w:t>
      </w:r>
    </w:p>
    <w:p w:rsidR="00FF64C2" w:rsidRPr="00893EB2" w:rsidRDefault="00FF64C2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-601" w:type="dxa"/>
        <w:tblLook w:val="04A0"/>
      </w:tblPr>
      <w:tblGrid>
        <w:gridCol w:w="1901"/>
        <w:gridCol w:w="8730"/>
      </w:tblGrid>
      <w:tr w:rsidR="00E96A93" w:rsidRPr="00450557" w:rsidTr="00180546">
        <w:tc>
          <w:tcPr>
            <w:tcW w:w="1901" w:type="dxa"/>
          </w:tcPr>
          <w:p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  <w:vAlign w:val="center"/>
          </w:tcPr>
          <w:p w:rsidR="00E96A93" w:rsidRPr="00450557" w:rsidRDefault="00E96A93" w:rsidP="001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экспорта Фонда развития Хакасии (далее – </w:t>
            </w:r>
            <w:r w:rsidR="00B434B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Заказчик,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9CB" w:rsidRPr="00450557" w:rsidTr="00E26161">
        <w:tc>
          <w:tcPr>
            <w:tcW w:w="1901" w:type="dxa"/>
          </w:tcPr>
          <w:p w:rsidR="00BA29CB" w:rsidRPr="00450557" w:rsidRDefault="00D65539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  <w:r w:rsidR="00180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30" w:type="dxa"/>
          </w:tcPr>
          <w:p w:rsidR="00BA29CB" w:rsidRPr="00450557" w:rsidRDefault="00180546" w:rsidP="0045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41BA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4541BA"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454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1BA"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рекламно-информационной кампании, направленной на популяризацию деятельности Центра поддержки экспорта Фонда развития Республики Хакасия</w:t>
            </w:r>
            <w:r w:rsidR="004541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541BA"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экспортной деятельности в Республике Хакасия в средствах массовой информации, информационно-телекоммуникационной сети «Интернет», включая социальные интернет-сети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A90" w:rsidRPr="00450557" w:rsidTr="00E26161">
        <w:tc>
          <w:tcPr>
            <w:tcW w:w="1901" w:type="dxa"/>
          </w:tcPr>
          <w:p w:rsidR="00032A90" w:rsidRDefault="00032A90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30" w:type="dxa"/>
          </w:tcPr>
          <w:p w:rsidR="00032A90" w:rsidRPr="00FC1E55" w:rsidRDefault="00032A90" w:rsidP="0003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комплексной услуги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по продвижению информации о деятельности </w:t>
            </w:r>
            <w:proofErr w:type="gramStart"/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Центра поддержки экспорта 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Фонда развития Республики</w:t>
            </w:r>
            <w:proofErr w:type="gramEnd"/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и информационно-телекоммуникационной сети "Интернет", в том числе продвижение аккаунтов Центра поддержки экспорта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Фонда развития Республики Хакасия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в информационно-телекоммуникационной сети "Интернет"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услуга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2A90" w:rsidRPr="003B1085" w:rsidRDefault="00032A90" w:rsidP="00032A9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Комплексная услуга включает следующий состав услуг:</w:t>
            </w:r>
          </w:p>
          <w:p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с Заказчиком </w:t>
            </w: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>коммуникационной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рекламно-информационной</w:t>
            </w:r>
            <w:proofErr w:type="spellEnd"/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2021 года</w:t>
            </w: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A90" w:rsidRPr="003B1085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организация и проведение информационных мероприятий, определённых, согласованным Заказчиком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период до 31.12. 2019 года; </w:t>
            </w:r>
          </w:p>
          <w:p w:rsidR="00032A90" w:rsidRPr="00B31232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создание,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текстового, видео, фото, аудио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иного иллюстративно-информационного материала (</w:t>
            </w: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="002F27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СМИ)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"Интернет"</w:t>
            </w:r>
            <w:r w:rsidRPr="00B3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рекламно-информационных материалов в средствах массовой информации, включая электронные СМИ, а также в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утвержденного Заказчиком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оформление и ведение сообществ ЦПЭ в </w:t>
            </w:r>
            <w:r w:rsidRPr="006A50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6A5020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8312A4">
                <w:rPr>
                  <w:rFonts w:ascii="Times New Roman" w:hAnsi="Times New Roman" w:cs="Times New Roman"/>
                  <w:sz w:val="24"/>
                  <w:szCs w:val="24"/>
                </w:rPr>
                <w:t>https://www.facebook.com</w:t>
              </w:r>
            </w:hyperlink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), Одноклассники (</w:t>
            </w:r>
            <w:hyperlink r:id="rId7" w:history="1">
              <w:r w:rsidRPr="004158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61B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F161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4158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97F" w:rsidRDefault="0070797F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продвижения</w:t>
            </w:r>
            <w:r w:rsidR="007B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>таргетированной</w:t>
            </w:r>
            <w:proofErr w:type="spellEnd"/>
            <w:r w:rsidR="008773A8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контекстной </w:t>
            </w:r>
            <w:proofErr w:type="spellStart"/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="007B5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3A8" w:rsidRPr="0070797F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spellEnd"/>
            <w:r w:rsidR="008773A8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</w:t>
            </w:r>
            <w:r w:rsidR="007B5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3A8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 постов о деятельности ЦПЭ</w:t>
            </w:r>
            <w:r w:rsidR="007B5D6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5-ти постов)</w:t>
            </w:r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>в каждой из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интернет-сетях</w:t>
            </w:r>
            <w:r w:rsidR="008773A8" w:rsidRPr="007079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отображением </w:t>
            </w:r>
            <w:r w:rsidR="008773A8" w:rsidRPr="0070797F">
              <w:rPr>
                <w:rFonts w:ascii="Times New Roman" w:hAnsi="Times New Roman" w:cs="Times New Roman"/>
                <w:sz w:val="24"/>
                <w:szCs w:val="24"/>
              </w:rPr>
              <w:t>постов</w:t>
            </w:r>
            <w:r w:rsidR="00AB039A" w:rsidRPr="0070797F"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лентах потенциальной целевой аудитории</w:t>
            </w:r>
            <w:r w:rsidRPr="00707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A90" w:rsidRPr="0070797F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F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СМИ, социальных интернет-сетей и анализ информационного поля с последующей подготовкой и представлением Заказчику соответствующих отчетов об активности и реакции целевой аудитории, числа упоминаний о деятельности ЦПЭ;</w:t>
            </w:r>
          </w:p>
          <w:p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совместно с сотрудниками ЦПЭ оперативной поддержки обратной связи с целевой аудиторией;</w:t>
            </w:r>
          </w:p>
          <w:p w:rsidR="00032A90" w:rsidRPr="006A502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персональным менеджментом направления </w:t>
            </w:r>
            <w:r w:rsidRPr="006A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сопровождения в </w:t>
            </w:r>
            <w:r w:rsidR="002F27B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A5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персональным менеджментом направления информационного сопровождения в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интернет-сетях;</w:t>
            </w:r>
          </w:p>
          <w:p w:rsidR="00032A90" w:rsidRPr="006A502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сотрудникам ЦПЭ при организации и проведении экспертных интервью и прочих мероприятий для </w:t>
            </w:r>
            <w:r w:rsidR="002F27B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E4DF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коммуникативной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F27B9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="002F2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A90" w:rsidRPr="0065495F" w:rsidRDefault="00032A90" w:rsidP="0003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оказании комплексной услуги исполнителем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должно быть разработано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 создано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организовано размещение</w:t>
            </w: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ЦПЭ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032A90" w:rsidRPr="002F27B9" w:rsidRDefault="00180AB5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A90" w:rsidRPr="002F27B9">
              <w:rPr>
                <w:rFonts w:ascii="Times New Roman" w:hAnsi="Times New Roman" w:cs="Times New Roman"/>
                <w:sz w:val="24"/>
                <w:szCs w:val="24"/>
              </w:rPr>
              <w:t>-ти информационных сюжетов хронометражем от 2 до 4 минут или организованно участие представителя ЦПЭ в не менее 6-ти тематических программах телевизионного регионального канала в формате интервью не менее 15 минут;</w:t>
            </w:r>
          </w:p>
          <w:p w:rsidR="00032A90" w:rsidRDefault="00180AB5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2A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32A90"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2A90" w:rsidRPr="00C47E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="00032A90"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в эфире телевизионного регионального канала 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(один видеоролик </w:t>
            </w:r>
            <w:r w:rsidR="00032A90" w:rsidRPr="00C47E9C">
              <w:rPr>
                <w:rFonts w:ascii="Times New Roman" w:hAnsi="Times New Roman" w:cs="Times New Roman"/>
                <w:sz w:val="24"/>
                <w:szCs w:val="24"/>
              </w:rPr>
              <w:t>хронометражем не менее 15 секунд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2A90" w:rsidRPr="00C47E9C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2-х видеороликов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т</w:t>
            </w:r>
            <w:r w:rsidRPr="00A1003D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характеристиками: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03D">
              <w:rPr>
                <w:rFonts w:ascii="Times New Roman" w:hAnsi="Times New Roman" w:cs="Times New Roman"/>
                <w:sz w:val="24"/>
                <w:szCs w:val="24"/>
              </w:rPr>
              <w:t xml:space="preserve">MPEG4-AVC, разрешение 1920х1080, кодек: </w:t>
            </w:r>
            <w:proofErr w:type="gramStart"/>
            <w:r w:rsidRPr="00A1003D">
              <w:rPr>
                <w:rFonts w:ascii="Times New Roman" w:hAnsi="Times New Roman" w:cs="Times New Roman"/>
                <w:sz w:val="24"/>
                <w:szCs w:val="24"/>
              </w:rPr>
              <w:t xml:space="preserve">MPEG AAC </w:t>
            </w:r>
            <w:proofErr w:type="spellStart"/>
            <w:r w:rsidRPr="00A1003D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A1003D">
              <w:rPr>
                <w:rFonts w:ascii="Times New Roman" w:hAnsi="Times New Roman" w:cs="Times New Roman"/>
                <w:sz w:val="24"/>
                <w:szCs w:val="24"/>
              </w:rPr>
              <w:t>, каналы  стерео, частота дискретизации: 48000ГЦ)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азмещения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32A90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статьей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(одна статья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с объемом материала не менее 1500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>не менее 3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и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СМИ;</w:t>
            </w:r>
          </w:p>
          <w:p w:rsidR="00032A90" w:rsidRDefault="00180AB5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032A90"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  для размещения в эфире радиостанции (один </w:t>
            </w:r>
            <w:proofErr w:type="spellStart"/>
            <w:r w:rsidR="00032A90"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хронометражем не менее 30 секунд);</w:t>
            </w:r>
          </w:p>
          <w:p w:rsidR="00032A90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2F2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постов (1 пост не менее 100 знаков) для размещения </w:t>
            </w:r>
            <w:r w:rsidRPr="006A5020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6A5020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spellEnd"/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8312A4">
                <w:rPr>
                  <w:rFonts w:ascii="Times New Roman" w:hAnsi="Times New Roman" w:cs="Times New Roman"/>
                  <w:sz w:val="24"/>
                  <w:szCs w:val="24"/>
                </w:rPr>
                <w:t>https://www.facebook.com</w:t>
              </w:r>
            </w:hyperlink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), Одноклассники (</w:t>
            </w:r>
            <w:hyperlink r:id="rId10" w:history="1">
              <w:r w:rsidRPr="004158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60 постов для размещения в </w:t>
            </w:r>
            <w:proofErr w:type="spellStart"/>
            <w:r w:rsidRPr="00F161B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F161BC">
              <w:rPr>
                <w:rFonts w:ascii="Times New Roman" w:hAnsi="Times New Roman" w:cs="Times New Roman"/>
                <w:sz w:val="24"/>
                <w:szCs w:val="24"/>
              </w:rPr>
              <w:t xml:space="preserve"> (https://www.instagram.com)</w:t>
            </w:r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(текст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материалы и/или фотографии, графические изображения, </w:t>
            </w:r>
            <w:r w:rsidRPr="008312A4">
              <w:rPr>
                <w:rFonts w:ascii="Times New Roman" w:hAnsi="Times New Roman" w:cs="Times New Roman"/>
                <w:sz w:val="24"/>
                <w:szCs w:val="24"/>
              </w:rPr>
              <w:t xml:space="preserve">видео, адаптированные к требованиям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сетей)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B5D6A" w:rsidRDefault="00180AB5" w:rsidP="007B5D6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информационно-презентационных видеороликов по технологии анимации двухмерных объектов, с качеством анимации не менее 8 кадров в секунду. </w:t>
            </w:r>
            <w:proofErr w:type="gramStart"/>
            <w:r w:rsidR="00032A90">
              <w:rPr>
                <w:rFonts w:ascii="Times New Roman" w:hAnsi="Times New Roman" w:cs="Times New Roman"/>
                <w:sz w:val="24"/>
                <w:szCs w:val="24"/>
              </w:rPr>
              <w:t>Хронометраж одного видеоролика – не менее 15 секунд и не более 50 секунд (с т</w:t>
            </w:r>
            <w:r w:rsidR="00032A90" w:rsidRPr="00A1003D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>ми характеристиками:</w:t>
            </w:r>
            <w:proofErr w:type="gramEnd"/>
            <w:r w:rsidR="0003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90" w:rsidRPr="00A1003D">
              <w:rPr>
                <w:rFonts w:ascii="Times New Roman" w:hAnsi="Times New Roman" w:cs="Times New Roman"/>
                <w:sz w:val="24"/>
                <w:szCs w:val="24"/>
              </w:rPr>
              <w:t xml:space="preserve">MPEG4-AVC, разрешение 1920х1080, кодек: </w:t>
            </w:r>
            <w:proofErr w:type="gramStart"/>
            <w:r w:rsidR="00032A90" w:rsidRPr="00A1003D">
              <w:rPr>
                <w:rFonts w:ascii="Times New Roman" w:hAnsi="Times New Roman" w:cs="Times New Roman"/>
                <w:sz w:val="24"/>
                <w:szCs w:val="24"/>
              </w:rPr>
              <w:t xml:space="preserve">MPEG AAC </w:t>
            </w:r>
            <w:proofErr w:type="spellStart"/>
            <w:r w:rsidR="00032A90" w:rsidRPr="00A1003D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="00032A90" w:rsidRPr="00A1003D">
              <w:rPr>
                <w:rFonts w:ascii="Times New Roman" w:hAnsi="Times New Roman" w:cs="Times New Roman"/>
                <w:sz w:val="24"/>
                <w:szCs w:val="24"/>
              </w:rPr>
              <w:t>, каналы  стерео, частота дискретизации: 48000ГЦ)</w:t>
            </w:r>
            <w:r w:rsidR="00032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797F" w:rsidRPr="007B5D6A" w:rsidRDefault="007B5D6A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D6A">
              <w:rPr>
                <w:rFonts w:ascii="Times New Roman" w:hAnsi="Times New Roman" w:cs="Times New Roman"/>
                <w:sz w:val="24"/>
                <w:szCs w:val="24"/>
              </w:rPr>
              <w:t xml:space="preserve">5-ти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продвижений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6A">
              <w:rPr>
                <w:rFonts w:ascii="Times New Roman" w:hAnsi="Times New Roman" w:cs="Times New Roman"/>
                <w:sz w:val="24"/>
                <w:szCs w:val="24"/>
              </w:rPr>
              <w:t xml:space="preserve">постов </w:t>
            </w:r>
            <w:r w:rsidRPr="0070797F">
              <w:rPr>
                <w:rFonts w:ascii="Times New Roman" w:hAnsi="Times New Roman" w:cs="Times New Roman"/>
                <w:sz w:val="24"/>
                <w:szCs w:val="24"/>
              </w:rPr>
              <w:t>в 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интернет-сетях</w:t>
            </w:r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312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8312A4">
                <w:rPr>
                  <w:rFonts w:ascii="Times New Roman" w:hAnsi="Times New Roman" w:cs="Times New Roman"/>
                  <w:sz w:val="24"/>
                  <w:szCs w:val="24"/>
                </w:rPr>
                <w:t>https://www.facebook.com</w:t>
              </w:r>
            </w:hyperlink>
            <w:r w:rsidRPr="008312A4">
              <w:rPr>
                <w:rFonts w:ascii="Times New Roman" w:hAnsi="Times New Roman" w:cs="Times New Roman"/>
                <w:sz w:val="24"/>
                <w:szCs w:val="24"/>
              </w:rPr>
              <w:t>), Одноклассники (</w:t>
            </w:r>
            <w:hyperlink r:id="rId12" w:history="1">
              <w:r w:rsidRPr="004158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F161B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F161BC">
              <w:rPr>
                <w:rFonts w:ascii="Times New Roman" w:hAnsi="Times New Roman" w:cs="Times New Roman"/>
                <w:sz w:val="24"/>
                <w:szCs w:val="24"/>
              </w:rPr>
              <w:t xml:space="preserve"> (https://www.instagram.com)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="0070797F" w:rsidRPr="007B5D6A">
              <w:rPr>
                <w:rFonts w:ascii="Times New Roman" w:hAnsi="Times New Roman" w:cs="Times New Roman"/>
                <w:sz w:val="24"/>
                <w:szCs w:val="24"/>
              </w:rPr>
              <w:t>беспечение охвата потенциальной целевой аудитории не менее 140 тысяч пользователей с гарантированным переходом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ЦПЭ</w:t>
            </w:r>
            <w:r w:rsidR="0070797F" w:rsidRPr="007B5D6A">
              <w:rPr>
                <w:rFonts w:ascii="Times New Roman" w:hAnsi="Times New Roman" w:cs="Times New Roman"/>
                <w:sz w:val="24"/>
                <w:szCs w:val="24"/>
              </w:rPr>
              <w:t xml:space="preserve"> из контекстных объявлений не менее 10 тысяч пользователей. </w:t>
            </w:r>
            <w:proofErr w:type="gramEnd"/>
          </w:p>
          <w:p w:rsidR="00032A90" w:rsidRPr="00010A17" w:rsidRDefault="00032A90" w:rsidP="00032A90">
            <w:pPr>
              <w:pStyle w:val="Standard"/>
              <w:jc w:val="both"/>
              <w:rPr>
                <w:rFonts w:eastAsiaTheme="minorEastAsia" w:cs="Aharoni"/>
                <w:kern w:val="0"/>
                <w:lang w:val="ru-RU" w:eastAsia="ru-RU" w:bidi="ar-SA"/>
              </w:rPr>
            </w:pPr>
            <w:r w:rsidRPr="00010A17">
              <w:rPr>
                <w:rFonts w:eastAsiaTheme="minorEastAsia" w:cs="Aharoni"/>
                <w:kern w:val="0"/>
                <w:lang w:val="ru-RU" w:eastAsia="ru-RU" w:bidi="ar-SA"/>
              </w:rPr>
              <w:t>Исполнитель должен обеспечить</w:t>
            </w:r>
            <w:r w:rsidR="005969EE">
              <w:rPr>
                <w:rFonts w:eastAsiaTheme="minorEastAsia" w:cs="Aharoni"/>
                <w:kern w:val="0"/>
                <w:lang w:val="ru-RU" w:eastAsia="ru-RU" w:bidi="ar-SA"/>
              </w:rPr>
              <w:t xml:space="preserve"> </w:t>
            </w:r>
            <w:r w:rsidRPr="00010A17">
              <w:rPr>
                <w:rFonts w:eastAsiaTheme="minorEastAsia" w:cs="Aharoni"/>
                <w:kern w:val="0"/>
                <w:lang w:val="ru-RU" w:eastAsia="ru-RU" w:bidi="ar-SA"/>
              </w:rPr>
              <w:t>размещение</w:t>
            </w:r>
            <w:r w:rsidR="00420351">
              <w:rPr>
                <w:rFonts w:eastAsiaTheme="minorEastAsia" w:cs="Aharoni"/>
                <w:kern w:val="0"/>
                <w:lang w:val="ru-RU" w:eastAsia="ru-RU" w:bidi="ar-SA"/>
              </w:rPr>
              <w:t xml:space="preserve"> и продвижение</w:t>
            </w:r>
            <w:r w:rsidRPr="00010A17">
              <w:rPr>
                <w:rFonts w:eastAsiaTheme="minorEastAsia" w:cs="Aharoni"/>
                <w:kern w:val="0"/>
                <w:lang w:val="ru-RU" w:eastAsia="ru-RU" w:bidi="ar-SA"/>
              </w:rPr>
              <w:t xml:space="preserve"> материалов не менее чем:</w:t>
            </w:r>
          </w:p>
          <w:p w:rsidR="00032A90" w:rsidRPr="00132417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>в 2 различных печатных изданиях, не менее чем, с еженедельной периодичностью выходов номеров и тиражом не менее 10 000 экземпляров  еженедельного выпуска;</w:t>
            </w:r>
          </w:p>
          <w:p w:rsidR="00032A90" w:rsidRPr="00132417" w:rsidRDefault="00180AB5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СМИ с ежемесячной посещаемостью не менее 100 000 уникальных пользователей</w:t>
            </w:r>
            <w:r w:rsidR="006875F1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и суточной посещаемостью свыше 3 000 человек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A90" w:rsidRPr="00132417" w:rsidRDefault="00180AB5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радиостанциях с</w:t>
            </w:r>
            <w:r w:rsidR="006875F1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охватом аудитории от 300 000 человек и 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>зоной вещания на территории Республики Хакасия</w:t>
            </w:r>
            <w:r w:rsidR="006875F1" w:rsidRPr="00132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периодом размещения одного материала в течение 10 календарных дней, с долей выхода в </w:t>
            </w:r>
            <w:proofErr w:type="spellStart"/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>прайм-тайм</w:t>
            </w:r>
            <w:proofErr w:type="spellEnd"/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 процентов от общего эфирного времени проката;</w:t>
            </w:r>
          </w:p>
          <w:p w:rsidR="00032A90" w:rsidRDefault="00032A90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>на 2 телеканалах с зоной вещания на территории Республики Хакасия</w:t>
            </w:r>
            <w:r w:rsidR="006875F1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и охватом аудитории от 300 000 человек населения</w:t>
            </w:r>
            <w:r w:rsidR="009933F4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, с периодом размещения одного материала в течение 10 календарных дней, с долей выхода в </w:t>
            </w:r>
            <w:proofErr w:type="spellStart"/>
            <w:r w:rsidR="009933F4" w:rsidRPr="00132417">
              <w:rPr>
                <w:rFonts w:ascii="Times New Roman" w:hAnsi="Times New Roman" w:cs="Times New Roman"/>
                <w:sz w:val="24"/>
                <w:szCs w:val="24"/>
              </w:rPr>
              <w:t>прайм-тайм</w:t>
            </w:r>
            <w:proofErr w:type="spellEnd"/>
            <w:r w:rsidR="009933F4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 процентов от общего эфирного времени проката.</w:t>
            </w:r>
          </w:p>
        </w:tc>
      </w:tr>
      <w:tr w:rsidR="00E96A93" w:rsidRPr="00450557" w:rsidTr="00E26161">
        <w:tc>
          <w:tcPr>
            <w:tcW w:w="1901" w:type="dxa"/>
          </w:tcPr>
          <w:p w:rsidR="00E96A93" w:rsidRPr="00450557" w:rsidRDefault="00F646C5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:rsidR="00CD2BC4" w:rsidRPr="00CD2BC4" w:rsidRDefault="00CD2BC4" w:rsidP="00C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4">
              <w:rPr>
                <w:rFonts w:ascii="Times New Roman" w:hAnsi="Times New Roman" w:cs="Times New Roman"/>
                <w:sz w:val="24"/>
                <w:szCs w:val="24"/>
              </w:rPr>
              <w:t>При оказании комплексной услуги Исполнитель обязан:</w:t>
            </w:r>
          </w:p>
          <w:p w:rsidR="00CD2BC4" w:rsidRPr="00CD2BC4" w:rsidRDefault="00A06C8B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материалов 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="003A34F5" w:rsidRPr="00CD2B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: Федерального закона от 13.03.2006 №38-Ф3 «О рекламе»; Закона Российской Федерации от 27.12.1991 №2124-1 «О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информации»;</w:t>
            </w:r>
          </w:p>
          <w:p w:rsidR="00CD2BC4" w:rsidRPr="00CD2BC4" w:rsidRDefault="00132417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арантировать, что в отношении предоставленных им материалов, использованных при создании результата оказания услуг и являющихся объектами имущественных, авторских и/или смежных прав, Исполнителем приобретены права на такие материалы в объеме, необходимом и достаточном для их использования в результате оказания услуг. Исполнитель несет полную ответственность за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вышеперечисленных гарантий;</w:t>
            </w:r>
          </w:p>
          <w:p w:rsidR="00CD2BC4" w:rsidRPr="00CD2BC4" w:rsidRDefault="00132417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предъявления к Заказчику претензий третьих лиц, связанных с неправомерным использованием в результате оказания услуг материалов, предоставленных Исполнителем и являющихся объектами имущественных, авторских и/или смежных прав, компенсировать Заказчику суммы претензий третьих лиц, штрафов, а также иных убытко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связанных такими претензиями;</w:t>
            </w:r>
          </w:p>
          <w:p w:rsidR="00E96A93" w:rsidRPr="0012296F" w:rsidRDefault="00132417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ередать и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сключительные права на результаты, полученные при оказании услуг по Договору, Заказчику на весь срок действия исключительных прав, определяемый в соответствии со ст. 1281 Гражданского кодекса Российской Федерации. Такие исключительные права передаются Заказчику без выплаты дополнительного вознаграждения. Заказчик распоряжается правами на результаты, полученные по Договору, в порядке, установленном законодательством Российской Федерации. Права, передаваемые Исполнителем Заказчику, на результаты услуг по Договору должны быть достаточны для их полноценного использования.</w:t>
            </w:r>
          </w:p>
          <w:p w:rsidR="0012296F" w:rsidRPr="00032A90" w:rsidRDefault="0012296F" w:rsidP="003A34F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не быть действующим сотрудником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End"/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Федерациии (или)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быть </w:t>
            </w:r>
            <w:proofErr w:type="spellStart"/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аффилирован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5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СМИ.</w:t>
            </w:r>
          </w:p>
        </w:tc>
      </w:tr>
      <w:tr w:rsidR="006D40F8" w:rsidRPr="00450557" w:rsidTr="00E26161">
        <w:tc>
          <w:tcPr>
            <w:tcW w:w="1901" w:type="dxa"/>
          </w:tcPr>
          <w:p w:rsidR="006D40F8" w:rsidRPr="00450557" w:rsidRDefault="006D40F8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:rsidR="006D40F8" w:rsidRPr="00B0265C" w:rsidRDefault="00472D76" w:rsidP="0047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договора на оказание услуг до 30.12.2019</w:t>
            </w:r>
          </w:p>
        </w:tc>
      </w:tr>
      <w:tr w:rsidR="00B51343" w:rsidRPr="00450557" w:rsidTr="00E26161">
        <w:tc>
          <w:tcPr>
            <w:tcW w:w="1901" w:type="dxa"/>
          </w:tcPr>
          <w:p w:rsidR="00B51343" w:rsidRPr="00450557" w:rsidRDefault="00F646C5" w:rsidP="00F6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:rsidR="00472D76" w:rsidRPr="00B0265C" w:rsidRDefault="00472D76" w:rsidP="00472D76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13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14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Соответствовать требованию (в отношении российского юридического лица)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5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6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7" w:tgtFrame="_blank" w:history="1">
              <w:r w:rsidRPr="00B02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B0265C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:rsidR="00472D76" w:rsidRPr="00B0265C" w:rsidRDefault="00472D76" w:rsidP="00472D76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472D76" w:rsidRPr="00B0265C" w:rsidRDefault="00472D76" w:rsidP="00472D76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417"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ривлекаемые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СМИ должны иметь лицензию </w:t>
            </w:r>
            <w:r w:rsidRPr="00B026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 вещание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8" w:history="1">
              <w:r w:rsidRPr="00B0265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ФЗ от 27.12.1991 № 2124-1 (ред. от 06.06.2019) «О средствах массовой информации» (с изм. и доп., вступ. в силу с 01.09.2019)</w:t>
              </w:r>
            </w:hyperlink>
            <w:r w:rsidRPr="00B02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646C5" w:rsidRPr="00B0265C" w:rsidRDefault="00472D76" w:rsidP="00472D76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6. Деятельность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B51343" w:rsidRPr="00472D76" w:rsidRDefault="00B51343" w:rsidP="00132417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9B8" w:rsidRPr="00450557" w:rsidTr="00E26161">
        <w:tc>
          <w:tcPr>
            <w:tcW w:w="1901" w:type="dxa"/>
          </w:tcPr>
          <w:p w:rsidR="001219B8" w:rsidRPr="00450557" w:rsidRDefault="008A723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p w:rsidR="00C26D5E" w:rsidRDefault="00C26D5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Исполнителя осуществляется по следующим критериям: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98"/>
              <w:gridCol w:w="3118"/>
            </w:tblGrid>
            <w:tr w:rsidR="00472D76" w:rsidRPr="00CB36CD" w:rsidTr="00180AB5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472D76" w:rsidRPr="00CB36CD" w:rsidTr="00180AB5">
              <w:tc>
                <w:tcPr>
                  <w:tcW w:w="3998" w:type="dxa"/>
                  <w:shd w:val="clear" w:color="auto" w:fill="auto"/>
                </w:tcPr>
                <w:p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Опыт предоставления аналогичных услуг в течение </w:t>
                  </w:r>
                  <w:r w:rsidRPr="004401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 лет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Pr="00CB36CD" w:rsidRDefault="00472D76" w:rsidP="00381495">
                  <w:pPr>
                    <w:spacing w:line="240" w:lineRule="auto"/>
                    <w:ind w:left="6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договоров, актов выполненных работ/оказанных услуг, проч.</w:t>
                  </w:r>
                </w:p>
              </w:tc>
            </w:tr>
            <w:tr w:rsidR="00472D76" w:rsidRPr="00CB36CD" w:rsidTr="00180AB5">
              <w:tc>
                <w:tcPr>
                  <w:tcW w:w="3998" w:type="dxa"/>
                  <w:shd w:val="clear" w:color="auto" w:fill="auto"/>
                </w:tcPr>
                <w:p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тратегия реализации услуг/работ</w:t>
                  </w:r>
                </w:p>
              </w:tc>
            </w:tr>
            <w:tr w:rsidR="00472D76" w:rsidRPr="00CB36CD" w:rsidTr="00180AB5">
              <w:tc>
                <w:tcPr>
                  <w:tcW w:w="3998" w:type="dxa"/>
                  <w:shd w:val="clear" w:color="auto" w:fill="auto"/>
                </w:tcPr>
                <w:p w:rsidR="00472D76" w:rsidRPr="00CB36CD" w:rsidRDefault="00472D76" w:rsidP="00472D76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образования/дополнительного обучения, квалификации участника отбора/сотрудников участника, требуемых для оказания соответствующих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дипломов, сертификатов, проч.</w:t>
                  </w:r>
                </w:p>
              </w:tc>
            </w:tr>
            <w:tr w:rsidR="00472D76" w:rsidRPr="00CB36CD" w:rsidTr="00180AB5">
              <w:tc>
                <w:tcPr>
                  <w:tcW w:w="3998" w:type="dxa"/>
                  <w:shd w:val="clear" w:color="auto" w:fill="auto"/>
                </w:tcPr>
                <w:p w:rsidR="00472D76" w:rsidRPr="00CB36CD" w:rsidRDefault="00472D76" w:rsidP="00472D7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spacing w:after="0" w:line="240" w:lineRule="auto"/>
                    <w:ind w:left="63" w:firstLine="5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б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лагодарственны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х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пис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рекомендаций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перечень контрагентов с указанием тел. для связи, проч.</w:t>
                  </w:r>
                </w:p>
              </w:tc>
            </w:tr>
            <w:tr w:rsidR="00472D76" w:rsidRPr="00CB36CD" w:rsidTr="00180AB5">
              <w:tc>
                <w:tcPr>
                  <w:tcW w:w="3998" w:type="dxa"/>
                  <w:shd w:val="clear" w:color="auto" w:fill="auto"/>
                </w:tcPr>
                <w:p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  <w:r w:rsid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Специалист</w:t>
                  </w:r>
                  <w:r w:rsidR="00C145AF" w:rsidRP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 по информационному сопровождению в социальных сетях, </w:t>
                  </w:r>
                  <w:r w:rsidR="000E2C06" w:rsidRP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должен </w:t>
                  </w:r>
                  <w:r w:rsidR="00C145AF" w:rsidRP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соответств</w:t>
                  </w:r>
                  <w:r w:rsidR="000E2C06" w:rsidRP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овать</w:t>
                  </w:r>
                  <w:r w:rsidR="00C145AF" w:rsidRP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следующим требованиям: профильное журналистское образование, опыт управления Интернет-СМИ, опыт управления печатным СМИ</w:t>
                  </w:r>
                  <w:r w:rsid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Копии 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в том числе предварительные, письма о сотрудничестве, документы, подт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верждающие квалификация и проч.</w:t>
                  </w:r>
                </w:p>
              </w:tc>
            </w:tr>
            <w:tr w:rsidR="00472D76" w:rsidRPr="00CB36CD" w:rsidTr="00180AB5">
              <w:tc>
                <w:tcPr>
                  <w:tcW w:w="3998" w:type="dxa"/>
                  <w:shd w:val="clear" w:color="auto" w:fill="auto"/>
                </w:tcPr>
                <w:p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Наличие в штате специалиста по маркетингу</w:t>
                  </w:r>
                  <w:r w:rsid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(в сфере </w:t>
                  </w:r>
                  <w:proofErr w:type="spellStart"/>
                  <w:r w:rsid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дижитал-маркетинг</w:t>
                  </w:r>
                  <w:proofErr w:type="spellEnd"/>
                  <w:r w:rsid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и наличие проработанной базы каналов коммуникаций (СМИ, производителей рекламной продукции) и/или наличие в штате специалиста по </w:t>
                  </w:r>
                  <w:r w:rsidR="007E1877" w:rsidRP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рекламе и взаимодействию со СМИ, с опытом изготовления рекламно-информационных аудиовизуальных материалов с использованием </w:t>
                  </w:r>
                  <w:proofErr w:type="spellStart"/>
                  <w:r w:rsidR="007E1877" w:rsidRP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моушн-графики</w:t>
                  </w:r>
                  <w:proofErr w:type="spellEnd"/>
                  <w:r w:rsidR="007E1877" w:rsidRP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7E1877" w:rsidRP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инфографики</w:t>
                  </w:r>
                  <w:proofErr w:type="spellEnd"/>
                  <w:r w:rsidR="007E1877" w:rsidRP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анимации, производст</w:t>
                  </w:r>
                  <w:r w:rsidR="00BE622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ва</w:t>
                  </w:r>
                  <w:r w:rsidR="007E1877" w:rsidRPr="007E187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рекламно-информационного контента для телевидения/радио, презентационных фильмов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527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</w:tc>
            </w:tr>
            <w:tr w:rsidR="00472D76" w:rsidRPr="00CB36CD" w:rsidTr="00180AB5">
              <w:tc>
                <w:tcPr>
                  <w:tcW w:w="3998" w:type="dxa"/>
                  <w:shd w:val="clear" w:color="auto" w:fill="auto"/>
                </w:tcPr>
                <w:p w:rsidR="00472D76" w:rsidRPr="003C4989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498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Целевая аудитория и территория охвата рекламного носителя, посредством которого производится размещение информации, должны соответствовать следующим критериям:</w:t>
                  </w:r>
                </w:p>
                <w:p w:rsidR="00472D76" w:rsidRDefault="00472D76" w:rsidP="00381495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3C4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информации на телеканалах охват аудитории от 300 000 человек населения субъекта Российской Федерации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472D76" w:rsidRDefault="00472D76" w:rsidP="00381495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информации в печатных изданиях еженедельный тираж издания от 10 000 экземпляров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472D76" w:rsidRDefault="00472D76" w:rsidP="00381495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 п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на радио охват аудитории от 300 000 человек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472D76" w:rsidRPr="00851BE4" w:rsidRDefault="00472D76" w:rsidP="00381495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информации в информационно-коммуникационной сети «Интернет»: суточная посещаемость свыше 3000 человек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72D76" w:rsidRDefault="00472D76" w:rsidP="00180AB5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3C498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нформация от СМИ, прочие документы</w:t>
                  </w:r>
                </w:p>
              </w:tc>
            </w:tr>
            <w:tr w:rsidR="00472D76" w:rsidRPr="00CB36CD" w:rsidTr="00180AB5">
              <w:tc>
                <w:tcPr>
                  <w:tcW w:w="7116" w:type="dxa"/>
                  <w:gridSpan w:val="2"/>
                  <w:shd w:val="clear" w:color="auto" w:fill="auto"/>
                </w:tcPr>
                <w:p w:rsidR="00472D76" w:rsidRPr="00CB36CD" w:rsidRDefault="00472D76" w:rsidP="00180AB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– 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%.</w:t>
                  </w:r>
                </w:p>
                <w:p w:rsidR="00472D76" w:rsidRPr="00CB36CD" w:rsidRDefault="00472D76" w:rsidP="00180A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E2DA7" w:rsidRPr="00450557" w:rsidRDefault="008E2DA7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0A" w:rsidRDefault="00F90E0A" w:rsidP="00F90E0A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8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критериев</w:t>
            </w:r>
            <w:r w:rsidRPr="00FA7908">
              <w:rPr>
                <w:rFonts w:ascii="Times New Roman" w:hAnsi="Times New Roman" w:cs="Times New Roman"/>
                <w:sz w:val="24"/>
                <w:szCs w:val="24"/>
              </w:rPr>
              <w:t xml:space="preserve"> отбора имеет равнозначный вес.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  <w:p w:rsidR="00F90E0A" w:rsidRPr="00450557" w:rsidRDefault="00F90E0A" w:rsidP="00472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50557" w:rsidTr="00E26161">
        <w:tc>
          <w:tcPr>
            <w:tcW w:w="1901" w:type="dxa"/>
          </w:tcPr>
          <w:p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50557" w:rsidTr="00E26161">
        <w:tc>
          <w:tcPr>
            <w:tcW w:w="1901" w:type="dxa"/>
          </w:tcPr>
          <w:p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7C42D6" w:rsidRPr="00450557" w:rsidRDefault="006A795E" w:rsidP="003A34F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</w:t>
            </w:r>
            <w:r w:rsidR="003A3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течении пяти рабочих дней с момента </w:t>
            </w:r>
            <w:r w:rsidR="003A3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подписания сторонами Акта приемки оказанных услуг. Оплата производится на основании счета, </w:t>
            </w: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выставленного исполнителем (</w:t>
            </w:r>
            <w:r w:rsidRPr="004505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юридическим лицом или индивидуальным предпринимателем</w:t>
            </w:r>
            <w:r w:rsidR="003A3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0A762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8730" w:type="dxa"/>
          </w:tcPr>
          <w:p w:rsidR="00234AFA" w:rsidRPr="00234AFA" w:rsidRDefault="00234AFA" w:rsidP="00234AFA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Отчетным периодом по заключаемому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сполнителем договору возмездного оказания услуг является календарный месяц.</w:t>
            </w:r>
          </w:p>
          <w:p w:rsidR="00234AFA" w:rsidRPr="00234AFA" w:rsidRDefault="00234AFA" w:rsidP="00234AFA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не позднее трех рабочих дней месяца, следующего за отчетным, исполнитель предоставляет заказчику подписанный со своей стороны Акт сдачи-приемки оказанных услуг с приложением оригиналов следующих документов:</w:t>
            </w:r>
          </w:p>
          <w:p w:rsidR="00537F5C" w:rsidRDefault="00234AFA" w:rsidP="00234AF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отчет об оказании </w:t>
            </w:r>
            <w:r w:rsidR="00537F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услуг, </w:t>
            </w:r>
            <w:r w:rsidR="00537F5C" w:rsidRPr="00893EB2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37F5C"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деятельности Центра поддержки экспорта Фонда развития Республики Хакасия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AFA" w:rsidRPr="00234AFA" w:rsidRDefault="00537F5C" w:rsidP="00234AFA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AFA" w:rsidRPr="00234A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эфирных справок, экземпляров печатных СМИ, </w:t>
            </w:r>
            <w:proofErr w:type="spellStart"/>
            <w:r w:rsidR="00234AFA"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сайтов, на которых размещала</w:t>
            </w:r>
            <w:r w:rsidR="00234AFA"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инфорация</w:t>
            </w:r>
            <w:proofErr w:type="spellEnd"/>
            <w:r w:rsidR="00234AFA"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датой размещения, прочих документов, подтверждающих объем оказанных услуг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62908" w:rsidRPr="00450557" w:rsidRDefault="00862908" w:rsidP="0023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D8124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взносы,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услуг по </w:t>
            </w:r>
            <w:r w:rsidR="00CC0E07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:rsidR="000A7629" w:rsidRPr="00450557" w:rsidRDefault="00537F5C" w:rsidP="0053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4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не может превышать </w:t>
            </w:r>
            <w:bookmarkStart w:id="0" w:name="_GoBack"/>
            <w:bookmarkEnd w:id="0"/>
            <w:r w:rsidR="007771E3" w:rsidRPr="00AB614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0E2C06" w:rsidRPr="00AB6147">
              <w:rPr>
                <w:rFonts w:ascii="Times New Roman" w:hAnsi="Times New Roman" w:cs="Times New Roman"/>
                <w:sz w:val="24"/>
                <w:szCs w:val="24"/>
              </w:rPr>
              <w:t xml:space="preserve"> 000 (девятьсот пятьдесят </w:t>
            </w:r>
            <w:r w:rsidR="007771E3" w:rsidRPr="00AB614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E2C06" w:rsidRPr="00AB6147">
              <w:rPr>
                <w:rFonts w:ascii="Times New Roman" w:hAnsi="Times New Roman" w:cs="Times New Roman"/>
                <w:sz w:val="24"/>
                <w:szCs w:val="24"/>
              </w:rPr>
              <w:t xml:space="preserve">яч) </w:t>
            </w:r>
            <w:r w:rsidR="007771E3" w:rsidRPr="00AB61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E2C06" w:rsidRPr="00AB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76" w:rsidRPr="00704B92" w:rsidRDefault="00472D76" w:rsidP="00472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04B92">
        <w:rPr>
          <w:rFonts w:ascii="Times New Roman" w:eastAsia="Calibri" w:hAnsi="Times New Roman" w:cs="Times New Roman"/>
        </w:rPr>
        <w:t>Предложения на выполнение работ, оказание услуг направляются</w:t>
      </w:r>
      <w:r w:rsidR="003A34F5">
        <w:rPr>
          <w:rFonts w:ascii="Times New Roman" w:eastAsia="Calibri" w:hAnsi="Times New Roman" w:cs="Times New Roman"/>
        </w:rPr>
        <w:t xml:space="preserve"> до 18.00 0</w:t>
      </w:r>
      <w:r w:rsidR="00AB6147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</w:t>
      </w:r>
      <w:r w:rsidR="003A34F5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.2019</w:t>
      </w:r>
      <w:r w:rsidRPr="00704B92">
        <w:rPr>
          <w:rFonts w:ascii="Times New Roman" w:eastAsia="Calibri" w:hAnsi="Times New Roman" w:cs="Times New Roman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proofErr w:type="spellStart"/>
      <w:r w:rsidRPr="00704B92">
        <w:rPr>
          <w:rFonts w:ascii="Times New Roman" w:eastAsia="Calibri" w:hAnsi="Times New Roman" w:cs="Times New Roman"/>
          <w:lang w:val="en-US"/>
        </w:rPr>
        <w:t>fondrh</w:t>
      </w:r>
      <w:proofErr w:type="spellEnd"/>
      <w:r w:rsidRPr="00704B92">
        <w:rPr>
          <w:rFonts w:ascii="Times New Roman" w:eastAsia="Calibri" w:hAnsi="Times New Roman" w:cs="Times New Roman"/>
        </w:rPr>
        <w:t>@</w:t>
      </w:r>
      <w:r w:rsidRPr="00704B92">
        <w:rPr>
          <w:rFonts w:ascii="Times New Roman" w:eastAsia="Calibri" w:hAnsi="Times New Roman" w:cs="Times New Roman"/>
          <w:lang w:val="en-US"/>
        </w:rPr>
        <w:t>mail</w:t>
      </w:r>
      <w:r w:rsidRPr="00704B92">
        <w:rPr>
          <w:rFonts w:ascii="Times New Roman" w:eastAsia="Calibri" w:hAnsi="Times New Roman" w:cs="Times New Roman"/>
        </w:rPr>
        <w:t>.</w:t>
      </w:r>
      <w:proofErr w:type="spellStart"/>
      <w:r w:rsidRPr="00704B92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704B92">
        <w:rPr>
          <w:rFonts w:ascii="Times New Roman" w:eastAsia="Calibri" w:hAnsi="Times New Roman" w:cs="Times New Roman"/>
        </w:rPr>
        <w:t xml:space="preserve"> либо предоставляются </w:t>
      </w:r>
      <w:proofErr w:type="spellStart"/>
      <w:r w:rsidRPr="00704B92">
        <w:rPr>
          <w:rFonts w:ascii="Times New Roman" w:eastAsia="Calibri" w:hAnsi="Times New Roman" w:cs="Times New Roman"/>
        </w:rPr>
        <w:t>нарочнопо</w:t>
      </w:r>
      <w:proofErr w:type="spellEnd"/>
      <w:r w:rsidRPr="00704B92">
        <w:rPr>
          <w:rFonts w:ascii="Times New Roman" w:eastAsia="Calibri" w:hAnsi="Times New Roman" w:cs="Times New Roman"/>
        </w:rPr>
        <w:t xml:space="preserve"> адресу:</w:t>
      </w:r>
      <w:r w:rsidR="004506E9">
        <w:rPr>
          <w:rFonts w:ascii="Times New Roman" w:eastAsia="Calibri" w:hAnsi="Times New Roman" w:cs="Times New Roman"/>
        </w:rPr>
        <w:t xml:space="preserve"> </w:t>
      </w:r>
      <w:r w:rsidRPr="00704B92">
        <w:rPr>
          <w:rFonts w:ascii="Times New Roman" w:eastAsia="Calibri" w:hAnsi="Times New Roman" w:cs="Times New Roman"/>
        </w:rPr>
        <w:t xml:space="preserve">Республика Хакасия, </w:t>
      </w:r>
      <w:proofErr w:type="gramStart"/>
      <w:r w:rsidRPr="00704B92">
        <w:rPr>
          <w:rFonts w:ascii="Times New Roman" w:eastAsia="Calibri" w:hAnsi="Times New Roman" w:cs="Times New Roman"/>
        </w:rPr>
        <w:t>г</w:t>
      </w:r>
      <w:proofErr w:type="gramEnd"/>
      <w:r w:rsidRPr="00704B92">
        <w:rPr>
          <w:rFonts w:ascii="Times New Roman" w:eastAsia="Calibri" w:hAnsi="Times New Roman" w:cs="Times New Roman"/>
        </w:rPr>
        <w:t>. Абакан, ул. Кирова, д. 81 (Фонд развития Хакасии)</w:t>
      </w:r>
      <w:r w:rsidRPr="00704B92">
        <w:rPr>
          <w:rFonts w:ascii="Times New Roman" w:eastAsia="Calibri" w:hAnsi="Times New Roman" w:cs="Times New Roman"/>
          <w:sz w:val="16"/>
          <w:szCs w:val="16"/>
        </w:rPr>
        <w:t>,</w:t>
      </w:r>
      <w:r w:rsidRPr="00704B92">
        <w:rPr>
          <w:rFonts w:ascii="Times New Roman" w:eastAsia="Calibri" w:hAnsi="Times New Roman" w:cs="Times New Roman"/>
        </w:rPr>
        <w:t xml:space="preserve"> с приложением следующих документов и сведений:</w:t>
      </w:r>
    </w:p>
    <w:p w:rsidR="00472D76" w:rsidRPr="00704B92" w:rsidRDefault="00472D76" w:rsidP="00472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</w:t>
      </w:r>
      <w:r w:rsidRPr="00704B92">
        <w:rPr>
          <w:rFonts w:ascii="Times New Roman" w:hAnsi="Times New Roman" w:cs="Times New Roman"/>
        </w:rPr>
        <w:lastRenderedPageBreak/>
        <w:t xml:space="preserve">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копии учредительных документов участника отбора (для юридических лиц);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предложение на поставку товара, выполнение работ, оказание услуг, предусмотренных техническим заданием.   </w:t>
      </w:r>
    </w:p>
    <w:p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копии документов, подтверждающих соответствие исполнителя критериям, установленным в техническом задании. </w:t>
      </w:r>
    </w:p>
    <w:p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E0E" w:rsidRPr="00F10372" w:rsidRDefault="00A01E0E" w:rsidP="00A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Директор</w:t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  <w:t xml:space="preserve">Д.А. </w:t>
      </w:r>
      <w:proofErr w:type="spellStart"/>
      <w:r w:rsidRPr="00F10372">
        <w:rPr>
          <w:rFonts w:ascii="Times New Roman" w:hAnsi="Times New Roman" w:cs="Times New Roman"/>
          <w:sz w:val="24"/>
          <w:szCs w:val="24"/>
        </w:rPr>
        <w:t>Пауль</w:t>
      </w:r>
      <w:proofErr w:type="spellEnd"/>
    </w:p>
    <w:p w:rsidR="00A01E0E" w:rsidRPr="00E7323F" w:rsidRDefault="00A01E0E" w:rsidP="00A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Фонда развития Хакасии</w:t>
      </w:r>
    </w:p>
    <w:p w:rsidR="00862908" w:rsidRPr="00450557" w:rsidRDefault="00862908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400" w:rsidRPr="00450557" w:rsidRDefault="00592400" w:rsidP="0094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CA4410"/>
    <w:multiLevelType w:val="hybridMultilevel"/>
    <w:tmpl w:val="388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F023A1"/>
    <w:multiLevelType w:val="hybridMultilevel"/>
    <w:tmpl w:val="0C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A1470"/>
    <w:multiLevelType w:val="hybridMultilevel"/>
    <w:tmpl w:val="81F2C1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E3F87"/>
    <w:multiLevelType w:val="hybridMultilevel"/>
    <w:tmpl w:val="C62AE30A"/>
    <w:lvl w:ilvl="0" w:tplc="86E45BE8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1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5"/>
  </w:num>
  <w:num w:numId="14">
    <w:abstractNumId w:val="21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C5F"/>
    <w:rsid w:val="00010A17"/>
    <w:rsid w:val="000136E1"/>
    <w:rsid w:val="00013827"/>
    <w:rsid w:val="00032A90"/>
    <w:rsid w:val="00034B57"/>
    <w:rsid w:val="00044561"/>
    <w:rsid w:val="00044949"/>
    <w:rsid w:val="000469C3"/>
    <w:rsid w:val="000604D0"/>
    <w:rsid w:val="000908BA"/>
    <w:rsid w:val="00096682"/>
    <w:rsid w:val="000A064C"/>
    <w:rsid w:val="000A0900"/>
    <w:rsid w:val="000A117B"/>
    <w:rsid w:val="000A7629"/>
    <w:rsid w:val="000D6970"/>
    <w:rsid w:val="000E1654"/>
    <w:rsid w:val="000E266B"/>
    <w:rsid w:val="000E2C06"/>
    <w:rsid w:val="000F5054"/>
    <w:rsid w:val="00104B99"/>
    <w:rsid w:val="001063EA"/>
    <w:rsid w:val="001219B8"/>
    <w:rsid w:val="0012296F"/>
    <w:rsid w:val="00132417"/>
    <w:rsid w:val="00132832"/>
    <w:rsid w:val="0014512A"/>
    <w:rsid w:val="00160A2C"/>
    <w:rsid w:val="00180546"/>
    <w:rsid w:val="00180AB5"/>
    <w:rsid w:val="00193052"/>
    <w:rsid w:val="00196FFA"/>
    <w:rsid w:val="001B7957"/>
    <w:rsid w:val="001C5612"/>
    <w:rsid w:val="001E7C57"/>
    <w:rsid w:val="00221DC8"/>
    <w:rsid w:val="0023341D"/>
    <w:rsid w:val="00234AFA"/>
    <w:rsid w:val="00241E2B"/>
    <w:rsid w:val="0024259B"/>
    <w:rsid w:val="00253799"/>
    <w:rsid w:val="0027449B"/>
    <w:rsid w:val="00277248"/>
    <w:rsid w:val="00280A6C"/>
    <w:rsid w:val="0028126E"/>
    <w:rsid w:val="00290FB6"/>
    <w:rsid w:val="002B084B"/>
    <w:rsid w:val="002B2246"/>
    <w:rsid w:val="002B3CED"/>
    <w:rsid w:val="002C153E"/>
    <w:rsid w:val="002E11E2"/>
    <w:rsid w:val="002F27B9"/>
    <w:rsid w:val="002F2853"/>
    <w:rsid w:val="003005F6"/>
    <w:rsid w:val="003232CA"/>
    <w:rsid w:val="003353B4"/>
    <w:rsid w:val="00347932"/>
    <w:rsid w:val="00370C5B"/>
    <w:rsid w:val="00381495"/>
    <w:rsid w:val="003A34F5"/>
    <w:rsid w:val="003B1085"/>
    <w:rsid w:val="003B77BD"/>
    <w:rsid w:val="003C4392"/>
    <w:rsid w:val="003D164D"/>
    <w:rsid w:val="003D5244"/>
    <w:rsid w:val="003D643F"/>
    <w:rsid w:val="003E2812"/>
    <w:rsid w:val="003E7E93"/>
    <w:rsid w:val="004131B7"/>
    <w:rsid w:val="004164C4"/>
    <w:rsid w:val="00420351"/>
    <w:rsid w:val="004227FB"/>
    <w:rsid w:val="00424CA0"/>
    <w:rsid w:val="0042558C"/>
    <w:rsid w:val="004338AB"/>
    <w:rsid w:val="00447731"/>
    <w:rsid w:val="00450557"/>
    <w:rsid w:val="004506E9"/>
    <w:rsid w:val="004541BA"/>
    <w:rsid w:val="00460E70"/>
    <w:rsid w:val="00472D76"/>
    <w:rsid w:val="004943D8"/>
    <w:rsid w:val="004C777D"/>
    <w:rsid w:val="004E0C3D"/>
    <w:rsid w:val="00504551"/>
    <w:rsid w:val="00506BB6"/>
    <w:rsid w:val="00537F5C"/>
    <w:rsid w:val="005529DB"/>
    <w:rsid w:val="00592400"/>
    <w:rsid w:val="005969EE"/>
    <w:rsid w:val="005C55EB"/>
    <w:rsid w:val="005F0BC5"/>
    <w:rsid w:val="00611F73"/>
    <w:rsid w:val="00621295"/>
    <w:rsid w:val="0062589A"/>
    <w:rsid w:val="00632168"/>
    <w:rsid w:val="006532EC"/>
    <w:rsid w:val="0065495F"/>
    <w:rsid w:val="00655ABD"/>
    <w:rsid w:val="0065708B"/>
    <w:rsid w:val="006650AB"/>
    <w:rsid w:val="006807B7"/>
    <w:rsid w:val="00686459"/>
    <w:rsid w:val="006875F1"/>
    <w:rsid w:val="006A5020"/>
    <w:rsid w:val="006A795E"/>
    <w:rsid w:val="006C41FB"/>
    <w:rsid w:val="006D1B16"/>
    <w:rsid w:val="006D40F8"/>
    <w:rsid w:val="006E27A1"/>
    <w:rsid w:val="006F3B43"/>
    <w:rsid w:val="00705E44"/>
    <w:rsid w:val="0070797F"/>
    <w:rsid w:val="0072376F"/>
    <w:rsid w:val="00734402"/>
    <w:rsid w:val="00740D32"/>
    <w:rsid w:val="00757DB4"/>
    <w:rsid w:val="00770337"/>
    <w:rsid w:val="007771E3"/>
    <w:rsid w:val="007802BF"/>
    <w:rsid w:val="007A59CA"/>
    <w:rsid w:val="007A5F16"/>
    <w:rsid w:val="007A7E78"/>
    <w:rsid w:val="007B5BF0"/>
    <w:rsid w:val="007B5D6A"/>
    <w:rsid w:val="007C0433"/>
    <w:rsid w:val="007C42D6"/>
    <w:rsid w:val="007D0659"/>
    <w:rsid w:val="007D2BB7"/>
    <w:rsid w:val="007D38CB"/>
    <w:rsid w:val="007D4435"/>
    <w:rsid w:val="007E1877"/>
    <w:rsid w:val="008107D7"/>
    <w:rsid w:val="00813954"/>
    <w:rsid w:val="008312A4"/>
    <w:rsid w:val="0083224A"/>
    <w:rsid w:val="008410EF"/>
    <w:rsid w:val="0085689B"/>
    <w:rsid w:val="00862908"/>
    <w:rsid w:val="008773A8"/>
    <w:rsid w:val="00877CC3"/>
    <w:rsid w:val="00883A9C"/>
    <w:rsid w:val="00893EB2"/>
    <w:rsid w:val="008A7239"/>
    <w:rsid w:val="008B6E19"/>
    <w:rsid w:val="008C7704"/>
    <w:rsid w:val="008D7B8E"/>
    <w:rsid w:val="008E2DA7"/>
    <w:rsid w:val="00903D64"/>
    <w:rsid w:val="00912BE1"/>
    <w:rsid w:val="00922B68"/>
    <w:rsid w:val="009261B4"/>
    <w:rsid w:val="00931B21"/>
    <w:rsid w:val="00945521"/>
    <w:rsid w:val="0094639F"/>
    <w:rsid w:val="0095774B"/>
    <w:rsid w:val="00975980"/>
    <w:rsid w:val="00982E6E"/>
    <w:rsid w:val="009933B7"/>
    <w:rsid w:val="009933F4"/>
    <w:rsid w:val="009B40E2"/>
    <w:rsid w:val="009C480B"/>
    <w:rsid w:val="009D7363"/>
    <w:rsid w:val="00A01E0E"/>
    <w:rsid w:val="00A0351D"/>
    <w:rsid w:val="00A06C8B"/>
    <w:rsid w:val="00A1003D"/>
    <w:rsid w:val="00A10E19"/>
    <w:rsid w:val="00A147FB"/>
    <w:rsid w:val="00A515F4"/>
    <w:rsid w:val="00A65FF5"/>
    <w:rsid w:val="00A70471"/>
    <w:rsid w:val="00A73009"/>
    <w:rsid w:val="00A7581F"/>
    <w:rsid w:val="00A86AD5"/>
    <w:rsid w:val="00AA13AB"/>
    <w:rsid w:val="00AB039A"/>
    <w:rsid w:val="00AB6147"/>
    <w:rsid w:val="00AC1FD1"/>
    <w:rsid w:val="00AC341A"/>
    <w:rsid w:val="00AD02E0"/>
    <w:rsid w:val="00AD6A83"/>
    <w:rsid w:val="00AE729F"/>
    <w:rsid w:val="00B01585"/>
    <w:rsid w:val="00B0265C"/>
    <w:rsid w:val="00B05CB9"/>
    <w:rsid w:val="00B306FE"/>
    <w:rsid w:val="00B31232"/>
    <w:rsid w:val="00B434B6"/>
    <w:rsid w:val="00B456F2"/>
    <w:rsid w:val="00B45E0D"/>
    <w:rsid w:val="00B51343"/>
    <w:rsid w:val="00B52D33"/>
    <w:rsid w:val="00B80240"/>
    <w:rsid w:val="00B86D6C"/>
    <w:rsid w:val="00B923EA"/>
    <w:rsid w:val="00B9386D"/>
    <w:rsid w:val="00BA0242"/>
    <w:rsid w:val="00BA29CB"/>
    <w:rsid w:val="00BA5CDA"/>
    <w:rsid w:val="00BD7ECE"/>
    <w:rsid w:val="00BE14E2"/>
    <w:rsid w:val="00BE1EC6"/>
    <w:rsid w:val="00BE40A0"/>
    <w:rsid w:val="00BE622C"/>
    <w:rsid w:val="00C0524F"/>
    <w:rsid w:val="00C10123"/>
    <w:rsid w:val="00C10A59"/>
    <w:rsid w:val="00C11B10"/>
    <w:rsid w:val="00C145AF"/>
    <w:rsid w:val="00C26D5E"/>
    <w:rsid w:val="00C27E78"/>
    <w:rsid w:val="00C47E9C"/>
    <w:rsid w:val="00C50EC5"/>
    <w:rsid w:val="00C56B0C"/>
    <w:rsid w:val="00C665E2"/>
    <w:rsid w:val="00C7304B"/>
    <w:rsid w:val="00C740A4"/>
    <w:rsid w:val="00CA1C5F"/>
    <w:rsid w:val="00CA2898"/>
    <w:rsid w:val="00CB22F6"/>
    <w:rsid w:val="00CC0E07"/>
    <w:rsid w:val="00CD2BC4"/>
    <w:rsid w:val="00CD4353"/>
    <w:rsid w:val="00CD78B4"/>
    <w:rsid w:val="00D001A8"/>
    <w:rsid w:val="00D423C5"/>
    <w:rsid w:val="00D45733"/>
    <w:rsid w:val="00D65539"/>
    <w:rsid w:val="00D675B4"/>
    <w:rsid w:val="00D81243"/>
    <w:rsid w:val="00D92D4B"/>
    <w:rsid w:val="00D94597"/>
    <w:rsid w:val="00D95604"/>
    <w:rsid w:val="00D970FC"/>
    <w:rsid w:val="00DC486C"/>
    <w:rsid w:val="00DE13A2"/>
    <w:rsid w:val="00DE5A03"/>
    <w:rsid w:val="00E03DCB"/>
    <w:rsid w:val="00E2614F"/>
    <w:rsid w:val="00E26161"/>
    <w:rsid w:val="00E31C04"/>
    <w:rsid w:val="00E41B35"/>
    <w:rsid w:val="00E63948"/>
    <w:rsid w:val="00E71EB0"/>
    <w:rsid w:val="00E96A93"/>
    <w:rsid w:val="00ED4E6B"/>
    <w:rsid w:val="00EE0B16"/>
    <w:rsid w:val="00EE3F35"/>
    <w:rsid w:val="00EE6007"/>
    <w:rsid w:val="00EF4F05"/>
    <w:rsid w:val="00F15E07"/>
    <w:rsid w:val="00F161BC"/>
    <w:rsid w:val="00F41E5E"/>
    <w:rsid w:val="00F47D51"/>
    <w:rsid w:val="00F646C5"/>
    <w:rsid w:val="00F90E0A"/>
    <w:rsid w:val="00F96326"/>
    <w:rsid w:val="00F97DCC"/>
    <w:rsid w:val="00FB427C"/>
    <w:rsid w:val="00FB5165"/>
    <w:rsid w:val="00FB780F"/>
    <w:rsid w:val="00FC1E55"/>
    <w:rsid w:val="00FE4DF1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Абзац списка для документа"/>
    <w:basedOn w:val="a"/>
    <w:link w:val="a5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customStyle="1" w:styleId="Standard">
    <w:name w:val="Standard"/>
    <w:rsid w:val="00E63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" TargetMode="External"/><Relationship Id="rId13" Type="http://schemas.openxmlformats.org/officeDocument/2006/relationships/hyperlink" Target="https://egrul.nalog.ru/" TargetMode="External"/><Relationship Id="rId18" Type="http://schemas.openxmlformats.org/officeDocument/2006/relationships/hyperlink" Target="http://www.consultant.ru/document/cons_doc_LAW_1511/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" TargetMode="External"/><Relationship Id="rId12" Type="http://schemas.openxmlformats.org/officeDocument/2006/relationships/hyperlink" Target="https://ok.ru" TargetMode="External"/><Relationship Id="rId17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.arbit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" TargetMode="Externa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" TargetMode="External"/><Relationship Id="rId10" Type="http://schemas.openxmlformats.org/officeDocument/2006/relationships/hyperlink" Target="https://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hyperlink" Target="http://services.fm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F597-EA58-4C51-8DAC-DCC4F1CC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mf16</cp:lastModifiedBy>
  <cp:revision>16</cp:revision>
  <cp:lastPrinted>2019-08-06T04:14:00Z</cp:lastPrinted>
  <dcterms:created xsi:type="dcterms:W3CDTF">2019-09-24T09:44:00Z</dcterms:created>
  <dcterms:modified xsi:type="dcterms:W3CDTF">2019-10-02T09:32:00Z</dcterms:modified>
</cp:coreProperties>
</file>