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F8" w:rsidRPr="00BB0E07" w:rsidRDefault="001A1FF8" w:rsidP="00997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Техническое задание № </w:t>
      </w:r>
      <w:r w:rsidR="0003582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B0E07">
        <w:rPr>
          <w:rFonts w:ascii="Times New Roman" w:hAnsi="Times New Roman" w:cs="Times New Roman"/>
          <w:sz w:val="24"/>
          <w:szCs w:val="24"/>
        </w:rPr>
        <w:t xml:space="preserve"> от </w:t>
      </w:r>
      <w:r w:rsidR="00543951">
        <w:rPr>
          <w:rFonts w:ascii="Times New Roman" w:hAnsi="Times New Roman" w:cs="Times New Roman"/>
          <w:sz w:val="24"/>
          <w:szCs w:val="24"/>
        </w:rPr>
        <w:t>0</w:t>
      </w:r>
      <w:r w:rsidR="00B37A5F">
        <w:rPr>
          <w:rFonts w:ascii="Times New Roman" w:hAnsi="Times New Roman" w:cs="Times New Roman"/>
          <w:sz w:val="24"/>
          <w:szCs w:val="24"/>
        </w:rPr>
        <w:t>6</w:t>
      </w:r>
      <w:r w:rsidR="00777ECC">
        <w:rPr>
          <w:rFonts w:ascii="Times New Roman" w:hAnsi="Times New Roman" w:cs="Times New Roman"/>
          <w:sz w:val="24"/>
          <w:szCs w:val="24"/>
        </w:rPr>
        <w:t>.0</w:t>
      </w:r>
      <w:r w:rsidR="00543951">
        <w:rPr>
          <w:rFonts w:ascii="Times New Roman" w:hAnsi="Times New Roman" w:cs="Times New Roman"/>
          <w:sz w:val="24"/>
          <w:szCs w:val="24"/>
        </w:rPr>
        <w:t>9</w:t>
      </w:r>
      <w:r w:rsidR="00777ECC">
        <w:rPr>
          <w:rFonts w:ascii="Times New Roman" w:hAnsi="Times New Roman" w:cs="Times New Roman"/>
          <w:sz w:val="24"/>
          <w:szCs w:val="24"/>
        </w:rPr>
        <w:t>.</w:t>
      </w:r>
      <w:r w:rsidRPr="00BB0E07">
        <w:rPr>
          <w:rFonts w:ascii="Times New Roman" w:hAnsi="Times New Roman" w:cs="Times New Roman"/>
          <w:sz w:val="24"/>
          <w:szCs w:val="24"/>
        </w:rPr>
        <w:t>201</w:t>
      </w:r>
      <w:r w:rsidR="005F646C">
        <w:rPr>
          <w:rFonts w:ascii="Times New Roman" w:hAnsi="Times New Roman" w:cs="Times New Roman"/>
          <w:sz w:val="24"/>
          <w:szCs w:val="24"/>
        </w:rPr>
        <w:t>9</w:t>
      </w:r>
    </w:p>
    <w:p w:rsidR="008F4505" w:rsidRPr="00BB0E07" w:rsidRDefault="008F4505" w:rsidP="008F4505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E07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Hlk15406007"/>
      <w:r w:rsidRPr="00BB0E07">
        <w:rPr>
          <w:rFonts w:ascii="Times New Roman" w:hAnsi="Times New Roman" w:cs="Times New Roman"/>
          <w:sz w:val="24"/>
          <w:szCs w:val="24"/>
        </w:rPr>
        <w:t>оказание консультационных услуг</w:t>
      </w:r>
      <w:bookmarkEnd w:id="1"/>
    </w:p>
    <w:p w:rsidR="008F4505" w:rsidRPr="006F1289" w:rsidRDefault="008F4505" w:rsidP="008F4505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7762" w:type="dxa"/>
            <w:vAlign w:val="center"/>
          </w:tcPr>
          <w:p w:rsidR="008F4505" w:rsidRPr="00A968CE" w:rsidRDefault="008F4505" w:rsidP="002C5AD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Центр поддержки МСП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7762" w:type="dxa"/>
          </w:tcPr>
          <w:p w:rsid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в устной и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письменной форме субъектам малого и 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E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зарегистрированным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территории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Хакасия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СМСП или получатели услуг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планирующи</w:t>
            </w:r>
            <w:r w:rsidR="00492A21" w:rsidRPr="002C5A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предпринимательской деятельности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5430F6" w:rsidRPr="007035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>получатели услуг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), по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одному или нескольким из следу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  <w:r w:rsidR="00DA3B18">
              <w:rPr>
                <w:rFonts w:ascii="Times New Roman" w:hAnsi="Times New Roman" w:cs="Times New Roman"/>
                <w:sz w:val="24"/>
                <w:szCs w:val="24"/>
              </w:rPr>
              <w:t>(*)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188" w:rsidRPr="00BB0CCA" w:rsidRDefault="00CE31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финансового планирования:</w:t>
            </w:r>
          </w:p>
          <w:p w:rsidR="00BB0CCA" w:rsidRPr="00BB0CCA" w:rsidRDefault="00806134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</w:t>
            </w:r>
            <w:r w:rsidR="007255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жетирование;</w:t>
            </w:r>
            <w:r w:rsidR="00F71151" w:rsidRPr="00F71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оптимизация налогообложения;</w:t>
            </w:r>
          </w:p>
          <w:p w:rsidR="00CE3188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бухгалтерские услуги</w:t>
            </w:r>
            <w:r w:rsidR="00CE31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Default="00CE31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инвестиций и займов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088" w:rsidRP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30F6" w:rsidRPr="00543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вопросам маркетингового сопровождения деятельности </w:t>
            </w:r>
            <w:r w:rsidR="00797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430F6">
              <w:rPr>
                <w:rFonts w:ascii="Times New Roman" w:hAnsi="Times New Roman" w:cs="Times New Roman"/>
                <w:b/>
                <w:sz w:val="24"/>
                <w:szCs w:val="24"/>
              </w:rPr>
              <w:t>МСП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разработка маркетинговой стратегии и планов;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рекламн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кампани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FF45F6" w:rsidRDefault="00FF45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FF45F6">
              <w:rPr>
                <w:rFonts w:ascii="Times New Roman" w:hAnsi="Times New Roman" w:cs="Times New Roman"/>
              </w:rPr>
              <w:t>разработка и продвижение бренда</w:t>
            </w:r>
            <w:r w:rsidRPr="00FF45F6">
              <w:rPr>
                <w:rFonts w:ascii="Times New Roman" w:hAnsi="Times New Roman" w:cs="Times New Roman"/>
              </w:rPr>
              <w:t xml:space="preserve"> (средства индивидуализации субъекта малого и среднего предпринимательства, товара, работы, услуги и иного обозначения, предназначенного для идентификации субъекта малого и среднего предпринимательства)</w:t>
            </w:r>
            <w:r w:rsidR="00BB0CCA" w:rsidRPr="00FF45F6">
              <w:rPr>
                <w:rFonts w:ascii="Times New Roman" w:hAnsi="Times New Roman" w:cs="Times New Roman"/>
              </w:rPr>
              <w:t>;</w:t>
            </w:r>
          </w:p>
          <w:p w:rsidR="00921088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5430F6">
              <w:rPr>
                <w:rFonts w:ascii="Times New Roman" w:hAnsi="Times New Roman" w:cs="Times New Roman"/>
                <w:sz w:val="24"/>
                <w:szCs w:val="24"/>
              </w:rPr>
              <w:t>изация системы сбыта продукции.</w:t>
            </w:r>
          </w:p>
          <w:p w:rsidR="00C63E23" w:rsidRDefault="00C63E23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35E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о вопросам правового обеспечения деятельности</w:t>
            </w:r>
            <w:r w:rsidR="00806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75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06134">
              <w:rPr>
                <w:rFonts w:ascii="Times New Roman" w:hAnsi="Times New Roman" w:cs="Times New Roman"/>
                <w:b/>
                <w:sz w:val="24"/>
                <w:szCs w:val="24"/>
              </w:rPr>
              <w:t>МСП</w:t>
            </w:r>
            <w:r w:rsidRPr="00BB0C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>составление и экспертиза договоров, соглашений, учредительных документов,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остных регламентов и инструкций</w:t>
            </w:r>
            <w:r w:rsidR="008132FE">
              <w:rPr>
                <w:rFonts w:ascii="Times New Roman" w:hAnsi="Times New Roman" w:cs="Times New Roman"/>
                <w:sz w:val="24"/>
                <w:szCs w:val="24"/>
              </w:rPr>
              <w:t>, прочих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представительства в судах общей юрисдикции,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арбитражном и третейском судах;</w:t>
            </w:r>
          </w:p>
          <w:p w:rsidR="005430F6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>оставление направляемых в суд документов (исков, отзывов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процессуальных документов);</w:t>
            </w:r>
          </w:p>
          <w:p w:rsidR="00BB0CCA" w:rsidRDefault="005430F6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интересов субъекта </w:t>
            </w:r>
            <w:r w:rsidR="00FF45F6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предпринимательства</w:t>
            </w:r>
            <w:r w:rsidRPr="005430F6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государственной власти и органах местного самоуправления при проведении мероприятий по контролю</w:t>
            </w:r>
            <w:r w:rsidR="008132FE">
              <w:rPr>
                <w:rFonts w:ascii="Times New Roman" w:hAnsi="Times New Roman" w:cs="Times New Roman"/>
                <w:sz w:val="24"/>
                <w:szCs w:val="24"/>
              </w:rPr>
              <w:t>, в том числе составление документов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5F6" w:rsidRDefault="00FF45F6" w:rsidP="00185D05">
            <w:pPr>
              <w:pStyle w:val="a6"/>
              <w:ind w:left="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03A" w:rsidRPr="00AC3B9B" w:rsidRDefault="00B1103A" w:rsidP="00185D05">
            <w:pPr>
              <w:pStyle w:val="a6"/>
              <w:ind w:left="31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3B9B">
              <w:rPr>
                <w:rFonts w:ascii="Times New Roman" w:hAnsi="Times New Roman"/>
                <w:b/>
                <w:bCs/>
                <w:sz w:val="24"/>
                <w:szCs w:val="24"/>
              </w:rPr>
              <w:t>По подбору персонала, по вопросам применения трудового законодательства Российской Федерации:</w:t>
            </w:r>
          </w:p>
          <w:p w:rsidR="00FF45F6" w:rsidRDefault="00FF45F6" w:rsidP="00FF45F6">
            <w:pPr>
              <w:pStyle w:val="a6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1103A" w:rsidRPr="00B1103A">
              <w:rPr>
                <w:rFonts w:ascii="Times New Roman" w:hAnsi="Times New Roman"/>
                <w:sz w:val="24"/>
                <w:szCs w:val="24"/>
              </w:rPr>
              <w:t xml:space="preserve"> оформление необходимых документов для приема на работу, </w:t>
            </w:r>
          </w:p>
          <w:p w:rsidR="00B1103A" w:rsidRPr="00B1103A" w:rsidRDefault="00FF45F6" w:rsidP="00FF45F6">
            <w:pPr>
              <w:pStyle w:val="a6"/>
              <w:ind w:left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оформление </w:t>
            </w:r>
            <w:r w:rsidR="00B1103A" w:rsidRPr="00B1103A">
              <w:rPr>
                <w:rFonts w:ascii="Times New Roman" w:hAnsi="Times New Roman"/>
                <w:sz w:val="24"/>
                <w:szCs w:val="24"/>
              </w:rPr>
              <w:t>разрешений на право привлечения иностранной рабочей силы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03A" w:rsidRPr="00B1103A" w:rsidRDefault="00B1103A" w:rsidP="00185D05">
            <w:pPr>
              <w:tabs>
                <w:tab w:val="left" w:pos="608"/>
              </w:tabs>
              <w:ind w:left="31" w:firstLine="12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505" w:rsidRPr="00D162BB" w:rsidRDefault="00B1103A" w:rsidP="002C5ADA">
            <w:pPr>
              <w:pStyle w:val="a6"/>
              <w:numPr>
                <w:ilvl w:val="0"/>
                <w:numId w:val="17"/>
              </w:numPr>
              <w:ind w:left="31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DA">
              <w:rPr>
                <w:rFonts w:ascii="Times New Roman" w:hAnsi="Times New Roman"/>
                <w:b/>
                <w:sz w:val="24"/>
                <w:szCs w:val="24"/>
              </w:rPr>
              <w:t>По организации сертификации товаров, работ и услуг С</w:t>
            </w:r>
            <w:r w:rsidR="00CE011A" w:rsidRPr="002C5ADA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  <w:r w:rsidRPr="002C5A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2C5ADA">
              <w:rPr>
                <w:rFonts w:ascii="Times New Roman" w:hAnsi="Times New Roman"/>
                <w:sz w:val="24"/>
                <w:szCs w:val="24"/>
              </w:rPr>
              <w:t xml:space="preserve"> (в том числе международной), а также по вопросам сертификации </w:t>
            </w:r>
            <w:r w:rsidR="007975B2" w:rsidRPr="002C5ADA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2C5ADA">
              <w:rPr>
                <w:rFonts w:ascii="Times New Roman" w:hAnsi="Times New Roman"/>
                <w:sz w:val="24"/>
                <w:szCs w:val="24"/>
              </w:rPr>
              <w:t xml:space="preserve"> по системе менеджмента качества в соответствии с международными стандартами.</w:t>
            </w:r>
          </w:p>
          <w:p w:rsidR="00D162BB" w:rsidRPr="00D162BB" w:rsidRDefault="00D162BB" w:rsidP="002C5ADA">
            <w:pPr>
              <w:pStyle w:val="a6"/>
              <w:numPr>
                <w:ilvl w:val="0"/>
                <w:numId w:val="17"/>
              </w:numPr>
              <w:ind w:left="31" w:firstLine="1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2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вопросам патентно-лицензионного сопровождения:</w:t>
            </w:r>
          </w:p>
          <w:p w:rsidR="00D162BB" w:rsidRDefault="00D162BB" w:rsidP="00D162BB">
            <w:pPr>
              <w:pStyle w:val="a6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>консультация по патентам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2BB" w:rsidRPr="002C5ADA" w:rsidRDefault="00D162BB" w:rsidP="00D162BB">
            <w:pPr>
              <w:pStyle w:val="a6"/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62BB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патентования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оказания услуг</w:t>
            </w:r>
          </w:p>
        </w:tc>
        <w:tc>
          <w:tcPr>
            <w:tcW w:w="7762" w:type="dxa"/>
          </w:tcPr>
          <w:p w:rsidR="008F4505" w:rsidRPr="006A64E1" w:rsidRDefault="00BB0CCA" w:rsidP="0092108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предоставляются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МСП в течение </w:t>
            </w:r>
            <w:r w:rsidR="004B7248" w:rsidRPr="006A6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7248" w:rsidRPr="006A64E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6A64E1">
              <w:rPr>
                <w:rFonts w:ascii="Times New Roman" w:hAnsi="Times New Roman" w:cs="Times New Roman"/>
                <w:sz w:val="24"/>
                <w:szCs w:val="24"/>
              </w:rPr>
              <w:t>) рабочих</w:t>
            </w:r>
            <w:r w:rsidR="00921088" w:rsidRPr="006A64E1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получения исполнителем заявки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1088" w:rsidRPr="006A64E1">
              <w:rPr>
                <w:rFonts w:ascii="Times New Roman" w:hAnsi="Times New Roman" w:cs="Times New Roman"/>
                <w:sz w:val="24"/>
                <w:szCs w:val="24"/>
              </w:rPr>
              <w:t>МСП.</w:t>
            </w:r>
          </w:p>
          <w:p w:rsidR="00921088" w:rsidRPr="008E3D81" w:rsidRDefault="0092108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с исполнителем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заключения договора </w:t>
            </w:r>
            <w:r w:rsidR="006A64E1" w:rsidRPr="008E3D8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06D9" w:rsidRPr="00FE58A0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  <w:r w:rsidR="00D106D9">
              <w:rPr>
                <w:rFonts w:ascii="Times New Roman" w:hAnsi="Times New Roman" w:cs="Times New Roman"/>
                <w:sz w:val="24"/>
                <w:szCs w:val="24"/>
              </w:rPr>
              <w:t xml:space="preserve"> г. или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 xml:space="preserve">до окончания </w:t>
            </w:r>
            <w:r w:rsidR="007975B2" w:rsidRPr="00DB3A85">
              <w:rPr>
                <w:rFonts w:ascii="Times New Roman" w:hAnsi="Times New Roman" w:cs="Times New Roman"/>
                <w:sz w:val="24"/>
                <w:szCs w:val="24"/>
              </w:rPr>
              <w:t>лимита</w:t>
            </w:r>
            <w:r w:rsidR="00CE011A" w:rsidRPr="00DB3A85">
              <w:rPr>
                <w:rFonts w:ascii="Times New Roman" w:hAnsi="Times New Roman" w:cs="Times New Roman"/>
                <w:sz w:val="24"/>
                <w:szCs w:val="24"/>
              </w:rPr>
              <w:t>/суммы</w:t>
            </w:r>
            <w:r w:rsidR="007975B2" w:rsidRPr="00DB3A8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CE011A" w:rsidRPr="00DB3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3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C5ADA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услугам</w:t>
            </w:r>
          </w:p>
        </w:tc>
        <w:tc>
          <w:tcPr>
            <w:tcW w:w="7762" w:type="dxa"/>
          </w:tcPr>
          <w:p w:rsidR="00C104A0" w:rsidRDefault="00C104A0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оказание консультационных услуг может заключаться с юридическим лицом или индивидуальным предпринимателем.</w:t>
            </w:r>
          </w:p>
          <w:p w:rsidR="00CE011A" w:rsidRDefault="00CE011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3F" w:rsidRDefault="00735ECF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услуг- до 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53457" w:rsidRPr="00FE5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58A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включительно.</w:t>
            </w:r>
          </w:p>
          <w:p w:rsidR="00CE011A" w:rsidRDefault="00CE011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CA" w:rsidRPr="00BB0CCA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консультационных услуг обязан:</w:t>
            </w:r>
          </w:p>
          <w:p w:rsidR="00BB0CCA" w:rsidRDefault="00921088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добросовестно, своевременно и качественно 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услуги;</w:t>
            </w:r>
          </w:p>
          <w:p w:rsidR="00BB0CCA" w:rsidRPr="00BB0CCA" w:rsidRDefault="007975B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F89">
              <w:rPr>
                <w:rFonts w:ascii="Times New Roman" w:hAnsi="Times New Roman" w:cs="Times New Roman"/>
                <w:sz w:val="24"/>
                <w:szCs w:val="24"/>
              </w:rPr>
              <w:t xml:space="preserve">путем размещения информации на сайте и/или печатной продукции, СМИ,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информировать своих клиентов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требованиям заказчика,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возможности получения бесплатной консультации у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исполнителя при их обращении к заказчику;</w:t>
            </w:r>
          </w:p>
          <w:p w:rsidR="008F4505" w:rsidRPr="00703583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-оказывать консультационные услуги в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индивидуальном порядке (не допускается присутствие на</w:t>
            </w:r>
            <w:r w:rsidR="00B7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консультации более 1 (одного)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получателя услуги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), по месту своего нахождения (месту нахождения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своего офиса), в специально предназначенном для этого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помещении с вывеской (указателем) о местонахождении и</w:t>
            </w:r>
            <w:r w:rsidR="00B70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наименовании/ФИО исполнителя, оборудованном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мебелью, оргтехникой, компьютером с доступом в</w:t>
            </w:r>
            <w:r w:rsidR="0092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и/или по месту нахождения заказчика.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оказание консультационных услуг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получателю услуги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различных мероприятий,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5F6">
              <w:rPr>
                <w:rFonts w:ascii="Times New Roman" w:hAnsi="Times New Roman" w:cs="Times New Roman"/>
                <w:sz w:val="24"/>
                <w:szCs w:val="24"/>
              </w:rPr>
              <w:t>организованных заказчиком, исполнителем или третьими</w:t>
            </w:r>
            <w:r w:rsidR="00B70556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088" w:rsidRPr="00FF45F6">
              <w:rPr>
                <w:rFonts w:ascii="Times New Roman" w:hAnsi="Times New Roman" w:cs="Times New Roman"/>
                <w:sz w:val="24"/>
                <w:szCs w:val="24"/>
              </w:rPr>
              <w:t xml:space="preserve">лицами, для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1ED7" w:rsidRPr="00FF45F6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/ физических лиц,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планирующих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E011A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деятельности</w:t>
            </w:r>
            <w:r w:rsidR="00671ED7" w:rsidRPr="007035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03A" w:rsidRDefault="00671ED7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>оказывать услуги собственными силами</w:t>
            </w:r>
            <w:r w:rsidR="0049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103A" w:rsidRDefault="00B1103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03A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дает обязательство об отказе в предоставлении услуг </w:t>
            </w:r>
            <w:r w:rsidR="00CE011A">
              <w:rPr>
                <w:rFonts w:ascii="Times New Roman" w:hAnsi="Times New Roman" w:cs="Times New Roman"/>
                <w:sz w:val="24"/>
                <w:szCs w:val="24"/>
              </w:rPr>
              <w:t>получателям услуги</w:t>
            </w:r>
            <w:r w:rsidRPr="00B1103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они состоят в одной группе лиц, определенных в соответствии с ФЗ от 26.07.2006 №135-ФЗ «О защите конкуренции».</w:t>
            </w:r>
          </w:p>
          <w:p w:rsidR="00B1103A" w:rsidRDefault="00B1103A" w:rsidP="00B1103A">
            <w:pPr>
              <w:pStyle w:val="a6"/>
              <w:tabs>
                <w:tab w:val="left" w:pos="325"/>
              </w:tabs>
              <w:ind w:left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58A0" w:rsidRDefault="007049C0">
            <w:pPr>
              <w:pStyle w:val="a6"/>
              <w:tabs>
                <w:tab w:val="left" w:pos="325"/>
              </w:tabs>
              <w:ind w:left="41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3740445"/>
            <w:r>
              <w:rPr>
                <w:rFonts w:ascii="Times New Roman" w:hAnsi="Times New Roman"/>
                <w:sz w:val="24"/>
                <w:szCs w:val="24"/>
              </w:rPr>
              <w:t>В зависимости от заявленных Исполнителем направлений оказания консультаци</w:t>
            </w:r>
            <w:r w:rsidR="00CE011A">
              <w:rPr>
                <w:rFonts w:ascii="Times New Roman" w:hAnsi="Times New Roman"/>
                <w:sz w:val="24"/>
                <w:szCs w:val="24"/>
              </w:rPr>
              <w:t>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E011A" w:rsidRPr="00DB3A85">
              <w:rPr>
                <w:rFonts w:ascii="Times New Roman" w:hAnsi="Times New Roman"/>
                <w:sz w:val="24"/>
                <w:szCs w:val="24"/>
              </w:rPr>
              <w:t>лимита/суммы договора</w:t>
            </w:r>
            <w:r w:rsidR="00CE011A">
              <w:rPr>
                <w:rFonts w:ascii="Times New Roman" w:hAnsi="Times New Roman"/>
                <w:sz w:val="24"/>
                <w:szCs w:val="24"/>
              </w:rPr>
              <w:t xml:space="preserve"> 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устанавливает в договоре минимальное количество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B3E" w:rsidRPr="00BB0CCA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85B3E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предпринимательства-</w:t>
            </w:r>
            <w:r>
              <w:rPr>
                <w:rFonts w:ascii="Times New Roman" w:hAnsi="Times New Roman"/>
                <w:sz w:val="24"/>
                <w:szCs w:val="24"/>
              </w:rPr>
              <w:t>получателей консультационной услуги по каждому направлению</w:t>
            </w:r>
            <w:r w:rsidR="00735ECF">
              <w:rPr>
                <w:rFonts w:ascii="Times New Roman" w:hAnsi="Times New Roman"/>
                <w:sz w:val="24"/>
                <w:szCs w:val="24"/>
              </w:rPr>
              <w:t xml:space="preserve"> из расчета – не более 4 000 (Четырех тысяч) рублей на одного получателя услуги по одному направлению консультационных услуг</w:t>
            </w:r>
            <w:r w:rsidRPr="00D47487">
              <w:rPr>
                <w:rFonts w:ascii="Times New Roman" w:hAnsi="Times New Roman"/>
                <w:sz w:val="24"/>
                <w:szCs w:val="24"/>
              </w:rPr>
              <w:t>.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2"/>
          <w:p w:rsidR="007975B2" w:rsidRDefault="007975B2">
            <w:pPr>
              <w:pStyle w:val="a6"/>
              <w:tabs>
                <w:tab w:val="left" w:pos="325"/>
              </w:tabs>
              <w:ind w:left="4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вправе получить не более одной платной услуги/ консультации по </w:t>
            </w:r>
            <w:r w:rsidR="00CE011A" w:rsidRPr="002C5ADA">
              <w:rPr>
                <w:rFonts w:ascii="Times New Roman" w:hAnsi="Times New Roman" w:cs="Times New Roman"/>
                <w:sz w:val="24"/>
                <w:szCs w:val="24"/>
              </w:rPr>
              <w:t>каждой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="00735ECF" w:rsidRPr="002C5ADA">
              <w:rPr>
                <w:rFonts w:ascii="Times New Roman" w:hAnsi="Times New Roman" w:cs="Times New Roman"/>
                <w:sz w:val="24"/>
                <w:szCs w:val="24"/>
              </w:rPr>
              <w:t>/ направлению консультационной услуги</w:t>
            </w:r>
            <w:r w:rsidRPr="002C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Исполнитель обязан за весь период действия договора оказать консультационные услуги по вопросам начала ведения собственного дела для физических лиц, планирующих осуществление предпринимательской деятельности не менее </w:t>
            </w:r>
            <w:r w:rsidR="000417F1">
              <w:rPr>
                <w:rFonts w:ascii="Times New Roman" w:hAnsi="Times New Roman"/>
                <w:sz w:val="24"/>
                <w:szCs w:val="24"/>
              </w:rPr>
              <w:t>15</w:t>
            </w:r>
            <w:r w:rsidR="00885B3E">
              <w:rPr>
                <w:rFonts w:ascii="Times New Roman" w:hAnsi="Times New Roman"/>
                <w:sz w:val="24"/>
                <w:szCs w:val="24"/>
              </w:rPr>
              <w:t xml:space="preserve"> физическим лицам</w:t>
            </w:r>
            <w:r w:rsidR="000417F1">
              <w:rPr>
                <w:rFonts w:ascii="Times New Roman" w:hAnsi="Times New Roman"/>
                <w:sz w:val="24"/>
                <w:szCs w:val="24"/>
              </w:rPr>
              <w:t xml:space="preserve"> по направлениям оказания консультационных услуг, включенных в договор на основании настоящего техзадания</w:t>
            </w:r>
            <w:r w:rsidR="00885B3E">
              <w:rPr>
                <w:rFonts w:ascii="Times New Roman" w:hAnsi="Times New Roman"/>
                <w:sz w:val="24"/>
                <w:szCs w:val="24"/>
              </w:rPr>
              <w:t>, на безвозмездной основе.</w:t>
            </w:r>
          </w:p>
          <w:p w:rsidR="00361A05" w:rsidRPr="00CF0C87" w:rsidRDefault="00361A05" w:rsidP="002C5ADA">
            <w:pPr>
              <w:pStyle w:val="a6"/>
              <w:tabs>
                <w:tab w:val="left" w:pos="325"/>
              </w:tabs>
              <w:ind w:left="41"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583">
              <w:rPr>
                <w:rFonts w:ascii="Times New Roman" w:hAnsi="Times New Roman"/>
                <w:sz w:val="24"/>
                <w:szCs w:val="24"/>
              </w:rPr>
              <w:t>Консультационные услуги оказываются на основании заявления, поступившего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 заказчику</w:t>
            </w:r>
            <w:r w:rsidRPr="0070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91" w:rsidRPr="00703583">
              <w:rPr>
                <w:rFonts w:ascii="Times New Roman" w:hAnsi="Times New Roman"/>
                <w:sz w:val="24"/>
                <w:szCs w:val="24"/>
              </w:rPr>
              <w:t xml:space="preserve">от заявителя – СМСП/физического лица, заинтересованного в начале осуществления предпринимательской </w:t>
            </w:r>
            <w:r w:rsidR="00B43A91" w:rsidRPr="0070358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  <w:r w:rsidR="0045413E" w:rsidRPr="002C5ADA">
              <w:rPr>
                <w:rFonts w:ascii="Times New Roman" w:hAnsi="Times New Roman"/>
                <w:sz w:val="24"/>
                <w:szCs w:val="24"/>
              </w:rPr>
              <w:t>,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72F89">
              <w:rPr>
                <w:rFonts w:ascii="Times New Roman" w:hAnsi="Times New Roman"/>
                <w:sz w:val="24"/>
                <w:szCs w:val="24"/>
              </w:rPr>
              <w:t xml:space="preserve">по выбору самого </w:t>
            </w:r>
            <w:r w:rsidR="00772F89" w:rsidRPr="00703583">
              <w:rPr>
                <w:rFonts w:ascii="Times New Roman" w:hAnsi="Times New Roman"/>
                <w:sz w:val="24"/>
                <w:szCs w:val="24"/>
              </w:rPr>
              <w:t>СМСП/физического лица, заинтересованного в начале осуществления предпринимательской деятельности</w:t>
            </w:r>
            <w:r w:rsidR="00772F89">
              <w:rPr>
                <w:rFonts w:ascii="Times New Roman" w:hAnsi="Times New Roman"/>
                <w:sz w:val="24"/>
                <w:szCs w:val="24"/>
              </w:rPr>
              <w:t>,</w:t>
            </w:r>
            <w:r w:rsidR="00772F89" w:rsidRPr="00703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4EB" w:rsidRPr="00703583">
              <w:rPr>
                <w:rFonts w:ascii="Times New Roman" w:hAnsi="Times New Roman"/>
                <w:sz w:val="24"/>
                <w:szCs w:val="24"/>
              </w:rPr>
              <w:t xml:space="preserve">направленного исполнителю. Личное присутствие заявителя при оказании услуг обязательно. 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 услуг</w:t>
            </w:r>
          </w:p>
        </w:tc>
        <w:tc>
          <w:tcPr>
            <w:tcW w:w="7762" w:type="dxa"/>
          </w:tcPr>
          <w:p w:rsidR="008F4505" w:rsidRPr="00A968CE" w:rsidRDefault="00BB0CCA" w:rsidP="007975B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Оплата оказанных исполнителем консультационных услуг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производится заказчиком путем перечисления денежных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средств на банковский счет исполнителя 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>ежемесячно - не позднее пяти рабочих дней месяца, следующего за отчетным</w:t>
            </w:r>
            <w:r w:rsidR="00B218AB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, после подписания Акта </w:t>
            </w:r>
            <w:r w:rsidR="009D5B9D" w:rsidRPr="00703583">
              <w:rPr>
                <w:rFonts w:ascii="Times New Roman" w:hAnsi="Times New Roman" w:cs="Times New Roman"/>
                <w:sz w:val="24"/>
                <w:szCs w:val="24"/>
              </w:rPr>
              <w:t xml:space="preserve">сдачи-приемки оказанных услуг </w:t>
            </w:r>
            <w:r w:rsidRPr="007035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выставленного исполнителем счета на оплату.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F32E68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62" w:type="dxa"/>
          </w:tcPr>
          <w:p w:rsidR="004514B2" w:rsidRDefault="00BB0CCA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Отчетным периодом 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о заключаемому с исполнителем</w:t>
            </w:r>
            <w:r w:rsidR="004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договору возмездного оказания консультационных услуг</w:t>
            </w:r>
            <w:r w:rsidR="004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является календарный месяц.</w:t>
            </w:r>
          </w:p>
          <w:p w:rsidR="004514B2" w:rsidRDefault="007975B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не позднее </w:t>
            </w:r>
            <w:r w:rsidR="00DA460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месяца, следующего за отчетным,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заказчику подписанный со своей стороны 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сдачи-прием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B6372A">
              <w:rPr>
                <w:rFonts w:ascii="Times New Roman" w:hAnsi="Times New Roman" w:cs="Times New Roman"/>
                <w:sz w:val="24"/>
                <w:szCs w:val="24"/>
              </w:rPr>
              <w:t xml:space="preserve">оригиналов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следующих документов:</w:t>
            </w:r>
          </w:p>
          <w:p w:rsidR="00671ED7" w:rsidRDefault="00D46632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123F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="002A48B6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, получивших консультационные услуги за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="00CF37AE">
              <w:rPr>
                <w:rFonts w:ascii="Times New Roman" w:hAnsi="Times New Roman" w:cs="Times New Roman"/>
                <w:sz w:val="24"/>
                <w:szCs w:val="24"/>
              </w:rPr>
              <w:t>, в электронном и бумажном виде</w:t>
            </w:r>
            <w:r w:rsidR="00EB2D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32E6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2F1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1E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0CCA" w:rsidRPr="00BB0CCA" w:rsidRDefault="00671ED7" w:rsidP="00BB0CCA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счет на оплату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оказанных за отчетны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период консультационных услуг.</w:t>
            </w:r>
          </w:p>
          <w:p w:rsidR="002A48B6" w:rsidRPr="00A968CE" w:rsidRDefault="00BB0CCA" w:rsidP="002A48B6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В случае если в отчетном периоде консультационные услуги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не оказываются, акт сдачи-приема оказанных услуг не</w:t>
            </w:r>
            <w:r w:rsidR="00451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CCA">
              <w:rPr>
                <w:rFonts w:ascii="Times New Roman" w:hAnsi="Times New Roman" w:cs="Times New Roman"/>
                <w:sz w:val="24"/>
                <w:szCs w:val="24"/>
              </w:rPr>
              <w:t>составляется, консультационные услуги не оплачиваются.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</w:t>
            </w:r>
            <w:r w:rsidR="00B859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762" w:type="dxa"/>
          </w:tcPr>
          <w:p w:rsidR="00B85C30" w:rsidRDefault="00B85C30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:rsidR="00B85C30" w:rsidRDefault="00B85C30" w:rsidP="00B859B9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600" w:rsidRPr="008F191C" w:rsidRDefault="00B859B9" w:rsidP="00DA4600">
            <w:pPr>
              <w:tabs>
                <w:tab w:val="left" w:pos="317"/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600" w:rsidRPr="008F191C">
              <w:rPr>
                <w:rFonts w:ascii="Times New Roman" w:hAnsi="Times New Roman"/>
                <w:sz w:val="24"/>
                <w:szCs w:val="24"/>
              </w:rPr>
              <w:t xml:space="preserve"> Исполнитель должен соответствовать следующим требованиям: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8F191C">
                <w:rPr>
                  <w:rFonts w:ascii="Times New Roman" w:hAnsi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8F191C">
              <w:rPr>
                <w:rFonts w:ascii="Times New Roman" w:hAnsi="Times New Roman"/>
                <w:sz w:val="24"/>
                <w:szCs w:val="24"/>
              </w:rPr>
              <w:t>- картотека арбитражных дел).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8F191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8F191C">
              <w:rPr>
                <w:rFonts w:ascii="Times New Roman" w:eastAsia="Times New Roman" w:hAnsi="Times New Roman"/>
                <w:sz w:val="24"/>
                <w:szCs w:val="24"/>
              </w:rPr>
              <w:t> - реестр недобросовестных поставщиков).</w:t>
            </w:r>
          </w:p>
          <w:p w:rsidR="00DA4600" w:rsidRPr="008F191C" w:rsidRDefault="00DA4600" w:rsidP="00DA4600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:rsidR="00DA4600" w:rsidRPr="008F191C" w:rsidRDefault="00DA4600" w:rsidP="00DA4600">
            <w:pPr>
              <w:pStyle w:val="ad"/>
              <w:numPr>
                <w:ilvl w:val="0"/>
                <w:numId w:val="20"/>
              </w:numP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1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  <w:r w:rsidRPr="00A8250F">
              <w:rPr>
                <w:rFonts w:ascii="Times New Roman" w:hAnsi="Times New Roman"/>
              </w:rPr>
              <w:t>Исполнитель должен соответствовать следующим критериям: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8"/>
              <w:gridCol w:w="3118"/>
            </w:tblGrid>
            <w:tr w:rsidR="00DA4600" w:rsidRPr="005A7509" w:rsidTr="00652350">
              <w:trPr>
                <w:trHeight w:val="561"/>
              </w:trPr>
              <w:tc>
                <w:tcPr>
                  <w:tcW w:w="3998" w:type="dxa"/>
                  <w:shd w:val="clear" w:color="auto" w:fill="auto"/>
                </w:tcPr>
                <w:p w:rsidR="00DA4600" w:rsidRPr="004E73C6" w:rsidRDefault="00DA4600" w:rsidP="00DA46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4E73C6" w:rsidRDefault="00DA4600" w:rsidP="00DA460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E73C6">
                    <w:rPr>
                      <w:rFonts w:ascii="Times New Roman" w:hAnsi="Times New Roman"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pStyle w:val="a6"/>
                    <w:numPr>
                      <w:ilvl w:val="1"/>
                      <w:numId w:val="20"/>
                    </w:numPr>
                    <w:tabs>
                      <w:tab w:val="clear" w:pos="2149"/>
                      <w:tab w:val="num" w:pos="0"/>
                      <w:tab w:val="left" w:pos="277"/>
                      <w:tab w:val="left" w:pos="2400"/>
                    </w:tabs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Опыт предоставления аналогичных услуг в течение 2 (двух) лет, или существование на рынке оказания аналогичных услуг не менее 3-х лет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pStyle w:val="a6"/>
                    <w:numPr>
                      <w:ilvl w:val="0"/>
                      <w:numId w:val="20"/>
                    </w:numPr>
                    <w:tabs>
                      <w:tab w:val="clear" w:pos="1429"/>
                      <w:tab w:val="left" w:pos="335"/>
                      <w:tab w:val="left" w:pos="567"/>
                    </w:tabs>
                    <w:spacing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штатных сотрудников, специализирующихся на оказании услуг. Специалисты (сотрудники - непосредственные исполнители) должны обладать профессиональной квалификацией, опытом оказания консультационных услуг по тому направлению, по которому производится отбор (Критерий оценивается в случае заключения договора на оказание консультационных услуг по нескольким разнопрофильным направлениям)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сотрудника)).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tabs>
                      <w:tab w:val="left" w:pos="709"/>
                    </w:tabs>
                    <w:spacing w:line="240" w:lineRule="auto"/>
                    <w:ind w:firstLine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3.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Наличие образования, квалификации участника отбора, требуемых для оказания соответствующих консультационных услуг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Копии </w:t>
                  </w: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дипломов, сертификатов, проч.</w:t>
                  </w:r>
                </w:p>
              </w:tc>
            </w:tr>
            <w:tr w:rsidR="00DA4600" w:rsidRPr="005A7509" w:rsidTr="00652350">
              <w:tc>
                <w:tcPr>
                  <w:tcW w:w="3998" w:type="dxa"/>
                  <w:shd w:val="clear" w:color="auto" w:fill="auto"/>
                </w:tcPr>
                <w:p w:rsidR="00DA4600" w:rsidRPr="00DA4600" w:rsidRDefault="00DA4600" w:rsidP="00DA4600">
                  <w:pPr>
                    <w:numPr>
                      <w:ilvl w:val="0"/>
                      <w:numId w:val="21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</w:p>
              </w:tc>
              <w:tc>
                <w:tcPr>
                  <w:tcW w:w="3118" w:type="dxa"/>
                  <w:shd w:val="clear" w:color="auto" w:fill="auto"/>
                </w:tcPr>
                <w:p w:rsidR="00DA4600" w:rsidRPr="00DA4600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4600">
                    <w:rPr>
                      <w:rFonts w:ascii="Times New Roman" w:hAnsi="Times New Roman"/>
                      <w:sz w:val="20"/>
                      <w:szCs w:val="20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DA4600" w:rsidRPr="004E73C6" w:rsidTr="00652350">
              <w:tc>
                <w:tcPr>
                  <w:tcW w:w="7116" w:type="dxa"/>
                  <w:gridSpan w:val="2"/>
                  <w:shd w:val="clear" w:color="auto" w:fill="auto"/>
                </w:tcPr>
                <w:p w:rsidR="00DA4600" w:rsidRPr="0069052F" w:rsidRDefault="00DA4600" w:rsidP="00DA460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  <w:r w:rsidRPr="0069052F">
                    <w:rPr>
                      <w:rFonts w:ascii="Times New Roman" w:hAnsi="Times New Roman"/>
                      <w:sz w:val="20"/>
                      <w:szCs w:val="20"/>
                    </w:rPr>
                    <w:t>%.</w:t>
                  </w:r>
                </w:p>
                <w:p w:rsidR="00DA4600" w:rsidRPr="004E73C6" w:rsidRDefault="00DA4600" w:rsidP="00DA460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A4600" w:rsidRDefault="00DA4600" w:rsidP="00DA4600">
            <w:pPr>
              <w:tabs>
                <w:tab w:val="left" w:pos="175"/>
                <w:tab w:val="left" w:pos="1134"/>
              </w:tabs>
              <w:suppressAutoHyphens/>
              <w:ind w:left="175"/>
              <w:contextualSpacing/>
              <w:jc w:val="both"/>
              <w:rPr>
                <w:rFonts w:ascii="Times New Roman" w:hAnsi="Times New Roman"/>
              </w:rPr>
            </w:pPr>
          </w:p>
          <w:p w:rsidR="00DA4600" w:rsidRDefault="00DA4600" w:rsidP="00DA4600">
            <w:pPr>
              <w:tabs>
                <w:tab w:val="left" w:pos="2400"/>
              </w:tabs>
              <w:jc w:val="both"/>
              <w:rPr>
                <w:rFonts w:ascii="Times New Roman" w:hAnsi="Times New Roman"/>
              </w:rPr>
            </w:pPr>
            <w:r w:rsidRPr="0069052F">
              <w:rPr>
                <w:rFonts w:ascii="Times New Roman" w:hAnsi="Times New Roman"/>
              </w:rPr>
              <w:t xml:space="preserve"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B0CCA" w:rsidRPr="00A968CE" w:rsidRDefault="00B85C30" w:rsidP="00DA4600">
            <w:pPr>
              <w:pStyle w:val="a6"/>
              <w:tabs>
                <w:tab w:val="left" w:pos="2400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F4505" w:rsidRPr="00A968CE" w:rsidTr="00DE377B">
        <w:tc>
          <w:tcPr>
            <w:tcW w:w="1809" w:type="dxa"/>
          </w:tcPr>
          <w:p w:rsidR="008F4505" w:rsidRPr="00A968CE" w:rsidRDefault="008F4505" w:rsidP="00214FC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услуг (включая все взносы</w:t>
            </w:r>
            <w:r w:rsidR="008477BA">
              <w:rPr>
                <w:rFonts w:ascii="Times New Roman" w:hAnsi="Times New Roman" w:cs="Times New Roman"/>
                <w:sz w:val="24"/>
                <w:szCs w:val="24"/>
              </w:rPr>
              <w:t xml:space="preserve">, налоги, </w:t>
            </w: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расходы исполнителя, связанные с оказанием услуг в рублях</w:t>
            </w:r>
          </w:p>
        </w:tc>
        <w:tc>
          <w:tcPr>
            <w:tcW w:w="7762" w:type="dxa"/>
          </w:tcPr>
          <w:p w:rsidR="0073576F" w:rsidRDefault="004F4EF1" w:rsidP="00CC2A9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тоимость одной консультации</w:t>
            </w:r>
            <w:r w:rsidR="00BB0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6F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устанавливается на основании прейскуранта, иного документа, регламентирующего стоимость услуг исполнителя, но не может превшать 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5F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2B5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CCA" w:rsidRPr="00BB0C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57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F646C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r w:rsidR="00BB0CCA">
              <w:rPr>
                <w:rFonts w:ascii="Times New Roman" w:hAnsi="Times New Roman" w:cs="Times New Roman"/>
                <w:sz w:val="24"/>
                <w:szCs w:val="24"/>
              </w:rPr>
              <w:t xml:space="preserve"> тысячи) рублей </w:t>
            </w:r>
            <w:r w:rsidR="002A48B6" w:rsidRPr="0073576F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  <w:r w:rsidR="00CE011A" w:rsidRPr="0073576F">
              <w:rPr>
                <w:rFonts w:ascii="Times New Roman" w:hAnsi="Times New Roman" w:cs="Times New Roman"/>
                <w:sz w:val="24"/>
                <w:szCs w:val="24"/>
              </w:rPr>
              <w:t>получателя услуги</w:t>
            </w:r>
            <w:r w:rsidR="002A48B6" w:rsidRPr="007357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A96" w:rsidRPr="00735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A96" w:rsidRDefault="0073576F" w:rsidP="00CC2A96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 </w:t>
            </w:r>
          </w:p>
          <w:p w:rsidR="002A48B6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консультационных услуг (цена договора) по нескольким направлениям (от 2-ух направлений)  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не может превыша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200 000 (двести тысяч) рублей.</w:t>
            </w:r>
          </w:p>
          <w:p w:rsidR="00955B71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консультационных услуг (цена договора) по 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одному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не может превыша</w:t>
            </w:r>
            <w:r w:rsidR="00543951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00 000 (</w:t>
            </w:r>
            <w:r w:rsidR="00DE377B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тысяч) рублей.</w:t>
            </w:r>
          </w:p>
          <w:p w:rsidR="00955B71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71" w:rsidRPr="00A968CE" w:rsidRDefault="00955B71" w:rsidP="00955B71">
            <w:pPr>
              <w:pStyle w:val="a6"/>
              <w:tabs>
                <w:tab w:val="left" w:pos="325"/>
              </w:tabs>
              <w:ind w:left="41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505" w:rsidRPr="00DA3B18" w:rsidRDefault="00DA3B18" w:rsidP="008F4505">
      <w:pPr>
        <w:tabs>
          <w:tab w:val="left" w:pos="2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3B18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(*) – Исполнитель вправе выбрать один или несколько из предложенных направлений.</w:t>
      </w:r>
    </w:p>
    <w:p w:rsidR="00DA3B18" w:rsidRPr="00A968CE" w:rsidRDefault="00DE377B" w:rsidP="0017025B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на оказание услуг по настоящему техническому заданию будет заключен с несколькими исполнителями, которые соответствуют требованиям и критериям, определенным в нем. </w:t>
      </w:r>
    </w:p>
    <w:p w:rsidR="00DE377B" w:rsidRPr="00D26285" w:rsidRDefault="00DE377B" w:rsidP="00DE37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Предложения на, оказание услуг направляются</w:t>
      </w:r>
      <w:r>
        <w:rPr>
          <w:rFonts w:ascii="Times New Roman" w:hAnsi="Times New Roman"/>
          <w:sz w:val="24"/>
          <w:szCs w:val="24"/>
        </w:rPr>
        <w:t xml:space="preserve"> в течении 30 календарных дней (до 09.10.2019 включительно)</w:t>
      </w:r>
      <w:r w:rsidRPr="00D26285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r w:rsidRPr="00D26285">
        <w:rPr>
          <w:rFonts w:ascii="Times New Roman" w:hAnsi="Times New Roman"/>
          <w:sz w:val="24"/>
          <w:szCs w:val="24"/>
          <w:lang w:val="en-US"/>
        </w:rPr>
        <w:t>fondrh</w:t>
      </w:r>
      <w:r w:rsidRPr="00D26285">
        <w:rPr>
          <w:rFonts w:ascii="Times New Roman" w:hAnsi="Times New Roman"/>
          <w:sz w:val="24"/>
          <w:szCs w:val="24"/>
        </w:rPr>
        <w:t>@</w:t>
      </w:r>
      <w:r w:rsidRPr="00D26285">
        <w:rPr>
          <w:rFonts w:ascii="Times New Roman" w:hAnsi="Times New Roman"/>
          <w:sz w:val="24"/>
          <w:szCs w:val="24"/>
          <w:lang w:val="en-US"/>
        </w:rPr>
        <w:t>mail</w:t>
      </w:r>
      <w:r w:rsidRPr="00D26285">
        <w:rPr>
          <w:rFonts w:ascii="Times New Roman" w:hAnsi="Times New Roman"/>
          <w:sz w:val="24"/>
          <w:szCs w:val="24"/>
        </w:rPr>
        <w:t>.</w:t>
      </w:r>
      <w:r w:rsidRPr="00D26285">
        <w:rPr>
          <w:rFonts w:ascii="Times New Roman" w:hAnsi="Times New Roman"/>
          <w:sz w:val="24"/>
          <w:szCs w:val="24"/>
          <w:lang w:val="en-US"/>
        </w:rPr>
        <w:t>ru</w:t>
      </w:r>
      <w:r w:rsidRPr="00D26285">
        <w:rPr>
          <w:rFonts w:ascii="Times New Roman" w:hAnsi="Times New Roman"/>
          <w:sz w:val="24"/>
          <w:szCs w:val="24"/>
        </w:rPr>
        <w:t xml:space="preserve"> либо предоставляются нарочно по адресу: Республика Хакасия, г. Абакан, ул. Кирова, д. 81 (Фонд развития Хакасии), с приложением следующих</w:t>
      </w:r>
      <w:r>
        <w:rPr>
          <w:rFonts w:ascii="Times New Roman" w:hAnsi="Times New Roman"/>
          <w:sz w:val="24"/>
          <w:szCs w:val="24"/>
        </w:rPr>
        <w:t>, заверенных надлежащим образом,</w:t>
      </w:r>
      <w:r w:rsidRPr="00D26285">
        <w:rPr>
          <w:rFonts w:ascii="Times New Roman" w:hAnsi="Times New Roman"/>
          <w:sz w:val="24"/>
          <w:szCs w:val="24"/>
        </w:rPr>
        <w:t xml:space="preserve"> документов и сведений: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E377B" w:rsidRPr="00D26285" w:rsidRDefault="00DE377B" w:rsidP="00DE37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6285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ADA" w:rsidRDefault="002C5ADA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7ECC" w:rsidRDefault="00777ECC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5B5" w:rsidRDefault="00EA05B5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77B" w:rsidRDefault="00DE377B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951" w:rsidRDefault="00543951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32E68" w:rsidRDefault="008E0410" w:rsidP="002C5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551FB" w:rsidRPr="00F32E68" w:rsidRDefault="00E551FB" w:rsidP="00E551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к Техническому заданию </w:t>
      </w:r>
    </w:p>
    <w:p w:rsidR="00E551FB" w:rsidRPr="00F32E68" w:rsidRDefault="00E551FB" w:rsidP="00E551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77ECC">
        <w:rPr>
          <w:rFonts w:ascii="Times New Roman" w:eastAsia="Calibri" w:hAnsi="Times New Roman" w:cs="Times New Roman"/>
          <w:sz w:val="24"/>
          <w:szCs w:val="24"/>
        </w:rPr>
        <w:t>12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7ECC">
        <w:rPr>
          <w:rFonts w:ascii="Times New Roman" w:eastAsia="Calibri" w:hAnsi="Times New Roman" w:cs="Times New Roman"/>
          <w:sz w:val="24"/>
          <w:szCs w:val="24"/>
        </w:rPr>
        <w:t>30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EC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1FB">
        <w:rPr>
          <w:rFonts w:ascii="Times New Roman" w:eastAsia="Calibri" w:hAnsi="Times New Roman" w:cs="Times New Roman"/>
          <w:b/>
          <w:sz w:val="24"/>
          <w:szCs w:val="24"/>
        </w:rPr>
        <w:t>Предложение на оказание консультационных услуг</w:t>
      </w: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93"/>
      </w:tblGrid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 xml:space="preserve">ИНН, КПП, ОГРН/ИНН и ОГРНИП (для </w:t>
            </w:r>
          </w:p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юридических лиц/индивидуальных предпринимателей)/номер паспорта, ИНН, СНИЛС (для физических лиц, кроме индивидуальных предпринимателей)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Перечень предлагаемых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Фамилии, имена, отчества непосредственных исполнителей услуг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777ECC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Цена оказания услуг c НДС (или без НДС)/ в рублях в виде диапазона цен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 xml:space="preserve">ФИО и должность уполномоченного лица </w:t>
            </w:r>
          </w:p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Подпись уполномоченного лица исполнителя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FB" w:rsidRPr="00E551FB" w:rsidTr="00E551F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1FB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1FB" w:rsidRPr="00E551FB" w:rsidRDefault="00E551FB" w:rsidP="00E551FB">
            <w:pPr>
              <w:tabs>
                <w:tab w:val="left" w:pos="2070"/>
              </w:tabs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51FB" w:rsidRPr="00E551FB" w:rsidRDefault="00E551FB" w:rsidP="00E551FB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1FB" w:rsidRPr="00E551FB" w:rsidRDefault="00E551FB" w:rsidP="00E551FB">
      <w:pPr>
        <w:tabs>
          <w:tab w:val="left" w:pos="20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1FB">
        <w:rPr>
          <w:rFonts w:ascii="Times New Roman" w:eastAsia="Calibri" w:hAnsi="Times New Roman" w:cs="Times New Roman"/>
          <w:sz w:val="24"/>
          <w:szCs w:val="24"/>
        </w:rPr>
        <w:t xml:space="preserve">Приложение: (прикладываются документы в </w:t>
      </w:r>
      <w:r w:rsidR="00777ECC">
        <w:rPr>
          <w:rFonts w:ascii="Times New Roman" w:eastAsia="Calibri" w:hAnsi="Times New Roman" w:cs="Times New Roman"/>
          <w:sz w:val="24"/>
          <w:szCs w:val="24"/>
        </w:rPr>
        <w:t>с</w:t>
      </w:r>
      <w:r w:rsidRPr="00E551FB">
        <w:rPr>
          <w:rFonts w:ascii="Times New Roman" w:eastAsia="Calibri" w:hAnsi="Times New Roman" w:cs="Times New Roman"/>
          <w:sz w:val="24"/>
          <w:szCs w:val="24"/>
        </w:rPr>
        <w:t>оответствии с требования</w:t>
      </w:r>
      <w:r w:rsidR="00777ECC">
        <w:rPr>
          <w:rFonts w:ascii="Times New Roman" w:eastAsia="Calibri" w:hAnsi="Times New Roman" w:cs="Times New Roman"/>
          <w:sz w:val="24"/>
          <w:szCs w:val="24"/>
        </w:rPr>
        <w:t>ми</w:t>
      </w:r>
      <w:r w:rsidRPr="00E551FB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технического задания).</w:t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E68" w:rsidRDefault="00F32E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2E68" w:rsidRDefault="00F32E68" w:rsidP="0099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32E68" w:rsidSect="00C104A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3" w:name="_Hlk5803773"/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8E0410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32E68" w:rsidRPr="00F32E68" w:rsidRDefault="00F32E68" w:rsidP="00D4748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4" w:name="_Hlk15406244"/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к Техническому заданию </w:t>
      </w: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77ECC">
        <w:rPr>
          <w:rFonts w:ascii="Times New Roman" w:eastAsia="Calibri" w:hAnsi="Times New Roman" w:cs="Times New Roman"/>
          <w:sz w:val="24"/>
          <w:szCs w:val="24"/>
        </w:rPr>
        <w:t>12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7ECC">
        <w:rPr>
          <w:rFonts w:ascii="Times New Roman" w:eastAsia="Calibri" w:hAnsi="Times New Roman" w:cs="Times New Roman"/>
          <w:sz w:val="24"/>
          <w:szCs w:val="24"/>
        </w:rPr>
        <w:t>30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ECC">
        <w:rPr>
          <w:rFonts w:ascii="Times New Roman" w:eastAsia="Calibri" w:hAnsi="Times New Roman" w:cs="Times New Roman"/>
          <w:sz w:val="24"/>
          <w:szCs w:val="24"/>
        </w:rPr>
        <w:t>августа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2019 года</w:t>
      </w:r>
    </w:p>
    <w:bookmarkEnd w:id="4"/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16405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>РЕЕСТР КОНСУЛЬТАЦИЙ</w:t>
      </w:r>
      <w:r w:rsidR="00616405">
        <w:rPr>
          <w:rFonts w:ascii="Times New Roman" w:eastAsia="Calibri" w:hAnsi="Times New Roman" w:cs="Times New Roman"/>
          <w:sz w:val="24"/>
          <w:szCs w:val="24"/>
        </w:rPr>
        <w:t>, ОКАЗАННЫХ</w:t>
      </w:r>
      <w:r w:rsidRPr="00F32E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405">
        <w:rPr>
          <w:rFonts w:ascii="Times New Roman" w:eastAsia="Calibri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F32E68" w:rsidRPr="00F32E68" w:rsidRDefault="00AC3B9B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C3B9B">
        <w:rPr>
          <w:rFonts w:ascii="Times New Roman" w:eastAsia="Calibri" w:hAnsi="Times New Roman" w:cs="Times New Roman"/>
          <w:sz w:val="24"/>
          <w:szCs w:val="24"/>
        </w:rPr>
        <w:t>И ФИЗИЧЕСКИ</w:t>
      </w:r>
      <w:r w:rsidR="00616405">
        <w:rPr>
          <w:rFonts w:ascii="Times New Roman" w:eastAsia="Calibri" w:hAnsi="Times New Roman" w:cs="Times New Roman"/>
          <w:sz w:val="24"/>
          <w:szCs w:val="24"/>
        </w:rPr>
        <w:t>М</w:t>
      </w:r>
      <w:r w:rsidRPr="00AC3B9B"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616405">
        <w:rPr>
          <w:rFonts w:ascii="Times New Roman" w:eastAsia="Calibri" w:hAnsi="Times New Roman" w:cs="Times New Roman"/>
          <w:sz w:val="24"/>
          <w:szCs w:val="24"/>
        </w:rPr>
        <w:t>АМ</w:t>
      </w:r>
      <w:r w:rsidRPr="00AC3B9B">
        <w:rPr>
          <w:rFonts w:ascii="Times New Roman" w:eastAsia="Calibri" w:hAnsi="Times New Roman" w:cs="Times New Roman"/>
          <w:sz w:val="24"/>
          <w:szCs w:val="24"/>
        </w:rPr>
        <w:t>, ПЛАНИРУЮЩИ</w:t>
      </w:r>
      <w:r w:rsidR="00616405">
        <w:rPr>
          <w:rFonts w:ascii="Times New Roman" w:eastAsia="Calibri" w:hAnsi="Times New Roman" w:cs="Times New Roman"/>
          <w:sz w:val="24"/>
          <w:szCs w:val="24"/>
        </w:rPr>
        <w:t>М</w:t>
      </w:r>
      <w:r w:rsidRPr="00AC3B9B">
        <w:rPr>
          <w:rFonts w:ascii="Times New Roman" w:eastAsia="Calibri" w:hAnsi="Times New Roman" w:cs="Times New Roman"/>
          <w:sz w:val="24"/>
          <w:szCs w:val="24"/>
        </w:rPr>
        <w:t xml:space="preserve"> ОСУЩЕСТВЛЕНИЕ ПРЕДПРИНИМАТЕЛЬСКОЙ ДЕЯТЕЛЬНОСТИ</w:t>
      </w:r>
    </w:p>
    <w:p w:rsidR="00F32E68" w:rsidRPr="00F32E68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2E68">
        <w:rPr>
          <w:rFonts w:ascii="Times New Roman" w:eastAsia="Calibri" w:hAnsi="Times New Roman" w:cs="Times New Roman"/>
          <w:sz w:val="24"/>
          <w:szCs w:val="24"/>
        </w:rPr>
        <w:t>в период с _______________ по _______________</w:t>
      </w:r>
    </w:p>
    <w:p w:rsidR="00F32E68" w:rsidRPr="00F32E68" w:rsidRDefault="00F32E68" w:rsidP="00F32E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86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0"/>
        <w:gridCol w:w="1275"/>
        <w:gridCol w:w="2063"/>
        <w:gridCol w:w="1475"/>
        <w:gridCol w:w="1663"/>
        <w:gridCol w:w="1503"/>
        <w:gridCol w:w="1376"/>
        <w:gridCol w:w="1791"/>
        <w:gridCol w:w="1750"/>
      </w:tblGrid>
      <w:tr w:rsidR="00FB4094" w:rsidRPr="00F32E68" w:rsidTr="00FB4094">
        <w:trPr>
          <w:trHeight w:val="532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СМСП/ ФИО физического лица</w:t>
            </w:r>
          </w:p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ФИО представителя СМСП</w:t>
            </w:r>
          </w:p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Возраст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Адрес электронной почты *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консультации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услуги</w:t>
            </w:r>
          </w:p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FB4094" w:rsidRPr="00F32E68" w:rsidTr="00FB4094">
        <w:trPr>
          <w:trHeight w:val="2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E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FB4094" w:rsidRPr="00F32E68" w:rsidTr="00FB4094">
        <w:trPr>
          <w:trHeight w:val="23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4094" w:rsidRPr="00F32E68" w:rsidTr="00FB4094">
        <w:trPr>
          <w:trHeight w:val="21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F32E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94" w:rsidRPr="00F32E68" w:rsidRDefault="00FB4094" w:rsidP="007975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* Ст</w:t>
      </w:r>
      <w:r w:rsidR="007A26A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олбец</w:t>
      </w: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="007A26A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7</w:t>
      </w:r>
      <w:r w:rsidRPr="00F32E68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заполняется при наличии электронной почты. Остальные столбцы заполняются в обязательном порядке.</w:t>
      </w: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(должность)           ___________________    _____________________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(подпись)              (Ф.И.О. полностью)</w:t>
      </w:r>
    </w:p>
    <w:p w:rsidR="00F32E68" w:rsidRPr="00F32E68" w:rsidRDefault="00F32E68" w:rsidP="00F32E68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41E" w:rsidRDefault="00F32E68" w:rsidP="00FB4094">
      <w:pPr>
        <w:widowControl w:val="0"/>
        <w:autoSpaceDE w:val="0"/>
        <w:autoSpaceDN w:val="0"/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41E" w:rsidSect="00F32E68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М.П."__"____________20</w:t>
      </w:r>
      <w:r w:rsidR="00CF0C8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1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2E68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bookmarkEnd w:id="3"/>
    </w:p>
    <w:p w:rsidR="00736CE1" w:rsidRPr="00E7323F" w:rsidRDefault="00736CE1" w:rsidP="00FB40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CE1" w:rsidRPr="00E7323F" w:rsidSect="00F32E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D2" w:rsidRDefault="002F10D2" w:rsidP="00F03549">
      <w:pPr>
        <w:spacing w:after="0" w:line="240" w:lineRule="auto"/>
      </w:pPr>
      <w:r>
        <w:separator/>
      </w:r>
    </w:p>
  </w:endnote>
  <w:endnote w:type="continuationSeparator" w:id="0">
    <w:p w:rsidR="002F10D2" w:rsidRDefault="002F10D2" w:rsidP="00F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D2" w:rsidRDefault="002F10D2" w:rsidP="00F03549">
      <w:pPr>
        <w:spacing w:after="0" w:line="240" w:lineRule="auto"/>
      </w:pPr>
      <w:r>
        <w:separator/>
      </w:r>
    </w:p>
  </w:footnote>
  <w:footnote w:type="continuationSeparator" w:id="0">
    <w:p w:rsidR="002F10D2" w:rsidRDefault="002F10D2" w:rsidP="00F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A6A"/>
    <w:multiLevelType w:val="hybridMultilevel"/>
    <w:tmpl w:val="4FD6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A0B"/>
    <w:multiLevelType w:val="hybridMultilevel"/>
    <w:tmpl w:val="737A8432"/>
    <w:lvl w:ilvl="0" w:tplc="463E16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6F04"/>
    <w:multiLevelType w:val="hybridMultilevel"/>
    <w:tmpl w:val="1F80EB02"/>
    <w:lvl w:ilvl="0" w:tplc="6A8E6B0C">
      <w:start w:val="4"/>
      <w:numFmt w:val="decimal"/>
      <w:lvlText w:val="%1."/>
      <w:lvlJc w:val="left"/>
      <w:pPr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4" w15:restartNumberingAfterBreak="0">
    <w:nsid w:val="26455E2A"/>
    <w:multiLevelType w:val="hybridMultilevel"/>
    <w:tmpl w:val="44422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304C2378"/>
    <w:multiLevelType w:val="multilevel"/>
    <w:tmpl w:val="BC0456B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7" w15:restartNumberingAfterBreak="0">
    <w:nsid w:val="35E0051A"/>
    <w:multiLevelType w:val="hybridMultilevel"/>
    <w:tmpl w:val="5B5C6B22"/>
    <w:lvl w:ilvl="0" w:tplc="5FFE19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033C94"/>
    <w:multiLevelType w:val="hybridMultilevel"/>
    <w:tmpl w:val="9668B6D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86807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F30E6"/>
    <w:multiLevelType w:val="hybridMultilevel"/>
    <w:tmpl w:val="46B02B38"/>
    <w:lvl w:ilvl="0" w:tplc="C22A4A8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EA57905"/>
    <w:multiLevelType w:val="hybridMultilevel"/>
    <w:tmpl w:val="C0FE7F8E"/>
    <w:lvl w:ilvl="0" w:tplc="4C3043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47600"/>
    <w:multiLevelType w:val="hybridMultilevel"/>
    <w:tmpl w:val="2DBE3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206E"/>
    <w:multiLevelType w:val="hybridMultilevel"/>
    <w:tmpl w:val="FE4E96D8"/>
    <w:lvl w:ilvl="0" w:tplc="D2AEDAD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BB6"/>
    <w:multiLevelType w:val="hybridMultilevel"/>
    <w:tmpl w:val="7F44D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17" w15:restartNumberingAfterBreak="0">
    <w:nsid w:val="54E11581"/>
    <w:multiLevelType w:val="hybridMultilevel"/>
    <w:tmpl w:val="082CCEC0"/>
    <w:lvl w:ilvl="0" w:tplc="793C78D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AAD6614"/>
    <w:multiLevelType w:val="hybridMultilevel"/>
    <w:tmpl w:val="94AC282A"/>
    <w:lvl w:ilvl="0" w:tplc="9842B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9302D1"/>
    <w:multiLevelType w:val="hybridMultilevel"/>
    <w:tmpl w:val="FAC04F6E"/>
    <w:lvl w:ilvl="0" w:tplc="7250C284">
      <w:start w:val="5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EF222B9"/>
    <w:multiLevelType w:val="hybridMultilevel"/>
    <w:tmpl w:val="6ADA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5"/>
  </w:num>
  <w:num w:numId="6">
    <w:abstractNumId w:val="18"/>
  </w:num>
  <w:num w:numId="7">
    <w:abstractNumId w:val="7"/>
  </w:num>
  <w:num w:numId="8">
    <w:abstractNumId w:val="11"/>
  </w:num>
  <w:num w:numId="9">
    <w:abstractNumId w:val="17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B15"/>
    <w:rsid w:val="0001291F"/>
    <w:rsid w:val="000210ED"/>
    <w:rsid w:val="000345CD"/>
    <w:rsid w:val="00035824"/>
    <w:rsid w:val="000417F1"/>
    <w:rsid w:val="0005146F"/>
    <w:rsid w:val="00072ED0"/>
    <w:rsid w:val="00096282"/>
    <w:rsid w:val="000E16C9"/>
    <w:rsid w:val="000E2F75"/>
    <w:rsid w:val="00117B97"/>
    <w:rsid w:val="001302D3"/>
    <w:rsid w:val="00153BD5"/>
    <w:rsid w:val="00163BF7"/>
    <w:rsid w:val="0017025B"/>
    <w:rsid w:val="001736EA"/>
    <w:rsid w:val="00185D05"/>
    <w:rsid w:val="00193331"/>
    <w:rsid w:val="001A1FF8"/>
    <w:rsid w:val="001A44AE"/>
    <w:rsid w:val="001A6FE6"/>
    <w:rsid w:val="001C6F75"/>
    <w:rsid w:val="001D4362"/>
    <w:rsid w:val="00214FC2"/>
    <w:rsid w:val="00215275"/>
    <w:rsid w:val="0023135E"/>
    <w:rsid w:val="00237C37"/>
    <w:rsid w:val="00253457"/>
    <w:rsid w:val="002616A7"/>
    <w:rsid w:val="00277579"/>
    <w:rsid w:val="00280DCE"/>
    <w:rsid w:val="002A48B6"/>
    <w:rsid w:val="002B5F27"/>
    <w:rsid w:val="002C5ADA"/>
    <w:rsid w:val="002C74CB"/>
    <w:rsid w:val="002E679B"/>
    <w:rsid w:val="002F0730"/>
    <w:rsid w:val="002F10D2"/>
    <w:rsid w:val="002F124A"/>
    <w:rsid w:val="00305240"/>
    <w:rsid w:val="00320978"/>
    <w:rsid w:val="00327110"/>
    <w:rsid w:val="00337155"/>
    <w:rsid w:val="00343140"/>
    <w:rsid w:val="0035016D"/>
    <w:rsid w:val="00360CA9"/>
    <w:rsid w:val="00361A05"/>
    <w:rsid w:val="00365B76"/>
    <w:rsid w:val="003C65E7"/>
    <w:rsid w:val="003D0191"/>
    <w:rsid w:val="003E15D0"/>
    <w:rsid w:val="00403912"/>
    <w:rsid w:val="00403C8B"/>
    <w:rsid w:val="004514B2"/>
    <w:rsid w:val="0045413E"/>
    <w:rsid w:val="00492A21"/>
    <w:rsid w:val="00497816"/>
    <w:rsid w:val="004B7248"/>
    <w:rsid w:val="004D43EB"/>
    <w:rsid w:val="004D7D51"/>
    <w:rsid w:val="004E1324"/>
    <w:rsid w:val="004F4EF1"/>
    <w:rsid w:val="004F745C"/>
    <w:rsid w:val="00504F4F"/>
    <w:rsid w:val="00520444"/>
    <w:rsid w:val="005430F6"/>
    <w:rsid w:val="00543951"/>
    <w:rsid w:val="00553988"/>
    <w:rsid w:val="00574613"/>
    <w:rsid w:val="005747CA"/>
    <w:rsid w:val="0059123F"/>
    <w:rsid w:val="005C1839"/>
    <w:rsid w:val="005C24B3"/>
    <w:rsid w:val="005C37F7"/>
    <w:rsid w:val="005D7321"/>
    <w:rsid w:val="005E055B"/>
    <w:rsid w:val="005F646C"/>
    <w:rsid w:val="006018A1"/>
    <w:rsid w:val="0060544A"/>
    <w:rsid w:val="00616405"/>
    <w:rsid w:val="0062512A"/>
    <w:rsid w:val="006326FB"/>
    <w:rsid w:val="00636652"/>
    <w:rsid w:val="00655A16"/>
    <w:rsid w:val="00657B41"/>
    <w:rsid w:val="00671ED7"/>
    <w:rsid w:val="00686A6A"/>
    <w:rsid w:val="006918D7"/>
    <w:rsid w:val="00697AA6"/>
    <w:rsid w:val="006A16E6"/>
    <w:rsid w:val="006A64E1"/>
    <w:rsid w:val="006B64F4"/>
    <w:rsid w:val="006D3AB2"/>
    <w:rsid w:val="006D5055"/>
    <w:rsid w:val="00703583"/>
    <w:rsid w:val="007049C0"/>
    <w:rsid w:val="00705D03"/>
    <w:rsid w:val="00725296"/>
    <w:rsid w:val="00725558"/>
    <w:rsid w:val="0073576F"/>
    <w:rsid w:val="00735ECF"/>
    <w:rsid w:val="00736CE1"/>
    <w:rsid w:val="00772F89"/>
    <w:rsid w:val="00777ECC"/>
    <w:rsid w:val="00781345"/>
    <w:rsid w:val="00794B10"/>
    <w:rsid w:val="007975B2"/>
    <w:rsid w:val="007A26A8"/>
    <w:rsid w:val="007F1525"/>
    <w:rsid w:val="00806134"/>
    <w:rsid w:val="008132FE"/>
    <w:rsid w:val="00823E08"/>
    <w:rsid w:val="008274FE"/>
    <w:rsid w:val="008477BA"/>
    <w:rsid w:val="00847868"/>
    <w:rsid w:val="00855B3C"/>
    <w:rsid w:val="008778C6"/>
    <w:rsid w:val="00885B3E"/>
    <w:rsid w:val="008A4A9E"/>
    <w:rsid w:val="008B5A39"/>
    <w:rsid w:val="008D34DE"/>
    <w:rsid w:val="008E0410"/>
    <w:rsid w:val="008E3D81"/>
    <w:rsid w:val="008F3905"/>
    <w:rsid w:val="008F4505"/>
    <w:rsid w:val="00910F1E"/>
    <w:rsid w:val="00913F78"/>
    <w:rsid w:val="00921088"/>
    <w:rsid w:val="00955B71"/>
    <w:rsid w:val="009822D5"/>
    <w:rsid w:val="00983DB9"/>
    <w:rsid w:val="00987A42"/>
    <w:rsid w:val="00997C26"/>
    <w:rsid w:val="009D5B9D"/>
    <w:rsid w:val="009F053D"/>
    <w:rsid w:val="009F1E65"/>
    <w:rsid w:val="00A20E93"/>
    <w:rsid w:val="00A24B15"/>
    <w:rsid w:val="00A329A4"/>
    <w:rsid w:val="00A35BCD"/>
    <w:rsid w:val="00A52BE7"/>
    <w:rsid w:val="00A6620C"/>
    <w:rsid w:val="00A67374"/>
    <w:rsid w:val="00AA6E2B"/>
    <w:rsid w:val="00AC3B9B"/>
    <w:rsid w:val="00AD71C5"/>
    <w:rsid w:val="00AE37FE"/>
    <w:rsid w:val="00AE3E8D"/>
    <w:rsid w:val="00AF3045"/>
    <w:rsid w:val="00B029F0"/>
    <w:rsid w:val="00B04CB4"/>
    <w:rsid w:val="00B1103A"/>
    <w:rsid w:val="00B122C9"/>
    <w:rsid w:val="00B20B6B"/>
    <w:rsid w:val="00B218AB"/>
    <w:rsid w:val="00B317A3"/>
    <w:rsid w:val="00B37A5F"/>
    <w:rsid w:val="00B43A91"/>
    <w:rsid w:val="00B6372A"/>
    <w:rsid w:val="00B671A4"/>
    <w:rsid w:val="00B70556"/>
    <w:rsid w:val="00B859B9"/>
    <w:rsid w:val="00B85C30"/>
    <w:rsid w:val="00BA39B8"/>
    <w:rsid w:val="00BB0CCA"/>
    <w:rsid w:val="00BB0E07"/>
    <w:rsid w:val="00BC079D"/>
    <w:rsid w:val="00BC167D"/>
    <w:rsid w:val="00BC2A26"/>
    <w:rsid w:val="00BC597A"/>
    <w:rsid w:val="00BC76AE"/>
    <w:rsid w:val="00C1011D"/>
    <w:rsid w:val="00C104A0"/>
    <w:rsid w:val="00C63E23"/>
    <w:rsid w:val="00C720F9"/>
    <w:rsid w:val="00C82DE9"/>
    <w:rsid w:val="00C91BFE"/>
    <w:rsid w:val="00CC2A96"/>
    <w:rsid w:val="00CD641E"/>
    <w:rsid w:val="00CE011A"/>
    <w:rsid w:val="00CE3188"/>
    <w:rsid w:val="00CF0C87"/>
    <w:rsid w:val="00CF37AE"/>
    <w:rsid w:val="00D01C1D"/>
    <w:rsid w:val="00D106D9"/>
    <w:rsid w:val="00D12160"/>
    <w:rsid w:val="00D162BB"/>
    <w:rsid w:val="00D46632"/>
    <w:rsid w:val="00D47487"/>
    <w:rsid w:val="00D6630F"/>
    <w:rsid w:val="00D935BB"/>
    <w:rsid w:val="00DA3B18"/>
    <w:rsid w:val="00DA4600"/>
    <w:rsid w:val="00DB3A85"/>
    <w:rsid w:val="00DC3A3F"/>
    <w:rsid w:val="00DD14EB"/>
    <w:rsid w:val="00DE377B"/>
    <w:rsid w:val="00DE5411"/>
    <w:rsid w:val="00DF37D0"/>
    <w:rsid w:val="00E27FB1"/>
    <w:rsid w:val="00E45A57"/>
    <w:rsid w:val="00E551FB"/>
    <w:rsid w:val="00E569DE"/>
    <w:rsid w:val="00E64535"/>
    <w:rsid w:val="00E65BD2"/>
    <w:rsid w:val="00E7323F"/>
    <w:rsid w:val="00EA05B5"/>
    <w:rsid w:val="00EB2D8C"/>
    <w:rsid w:val="00EC2A24"/>
    <w:rsid w:val="00EE1F3A"/>
    <w:rsid w:val="00EE2953"/>
    <w:rsid w:val="00F03549"/>
    <w:rsid w:val="00F26B91"/>
    <w:rsid w:val="00F32E68"/>
    <w:rsid w:val="00F354C1"/>
    <w:rsid w:val="00F71151"/>
    <w:rsid w:val="00F76848"/>
    <w:rsid w:val="00FB4094"/>
    <w:rsid w:val="00FC22D7"/>
    <w:rsid w:val="00FD7195"/>
    <w:rsid w:val="00FE58A0"/>
    <w:rsid w:val="00FF45F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FC9B0-F56C-4438-94AF-6A428DD9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E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75"/>
    <w:rPr>
      <w:rFonts w:ascii="Tahoma" w:hAnsi="Tahoma" w:cs="Tahoma"/>
      <w:sz w:val="16"/>
      <w:szCs w:val="16"/>
    </w:rPr>
  </w:style>
  <w:style w:type="paragraph" w:styleId="a6">
    <w:name w:val="List Paragraph"/>
    <w:aliases w:val="СПИСОК,Абзац списка для документа"/>
    <w:basedOn w:val="a"/>
    <w:link w:val="a7"/>
    <w:uiPriority w:val="34"/>
    <w:qFormat/>
    <w:rsid w:val="00A52B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549"/>
  </w:style>
  <w:style w:type="paragraph" w:styleId="aa">
    <w:name w:val="footer"/>
    <w:basedOn w:val="a"/>
    <w:link w:val="ab"/>
    <w:uiPriority w:val="99"/>
    <w:unhideWhenUsed/>
    <w:rsid w:val="00F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549"/>
  </w:style>
  <w:style w:type="character" w:styleId="ac">
    <w:name w:val="Hyperlink"/>
    <w:basedOn w:val="a0"/>
    <w:uiPriority w:val="99"/>
    <w:unhideWhenUsed/>
    <w:rsid w:val="0001291F"/>
    <w:rPr>
      <w:color w:val="0000FF" w:themeColor="hyperlink"/>
      <w:u w:val="single"/>
    </w:rPr>
  </w:style>
  <w:style w:type="character" w:customStyle="1" w:styleId="pseudoh1">
    <w:name w:val="pseudoh1"/>
    <w:rsid w:val="001A1FF8"/>
  </w:style>
  <w:style w:type="table" w:customStyle="1" w:styleId="11">
    <w:name w:val="Сетка таблицы1"/>
    <w:basedOn w:val="a1"/>
    <w:next w:val="a3"/>
    <w:uiPriority w:val="59"/>
    <w:rsid w:val="00F32E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B1103A"/>
  </w:style>
  <w:style w:type="table" w:customStyle="1" w:styleId="2">
    <w:name w:val="Сетка таблицы2"/>
    <w:basedOn w:val="a1"/>
    <w:next w:val="a3"/>
    <w:uiPriority w:val="39"/>
    <w:rsid w:val="00E551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A4600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C3DF9-D78A-4267-B735-EE9BA070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Шокур Сергей</dc:creator>
  <cp:lastModifiedBy>Татьяна</cp:lastModifiedBy>
  <cp:revision>10</cp:revision>
  <cp:lastPrinted>2019-09-09T02:29:00Z</cp:lastPrinted>
  <dcterms:created xsi:type="dcterms:W3CDTF">2019-09-03T02:16:00Z</dcterms:created>
  <dcterms:modified xsi:type="dcterms:W3CDTF">2019-09-09T05:39:00Z</dcterms:modified>
</cp:coreProperties>
</file>